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FFED" w14:textId="77777777" w:rsidR="006134E1" w:rsidRDefault="006134E1" w:rsidP="005C0BCE">
      <w:pPr>
        <w:spacing w:after="0"/>
        <w:rPr>
          <w:b/>
          <w:sz w:val="48"/>
          <w:szCs w:val="48"/>
        </w:rPr>
      </w:pPr>
    </w:p>
    <w:p w14:paraId="7EDDF16C" w14:textId="77777777" w:rsidR="005C0BCE" w:rsidRPr="005C0BCE" w:rsidRDefault="00AF6C8E" w:rsidP="005C0BCE">
      <w:pPr>
        <w:spacing w:after="0"/>
        <w:rPr>
          <w:b/>
          <w:sz w:val="48"/>
          <w:szCs w:val="48"/>
        </w:rPr>
      </w:pPr>
      <w:r w:rsidRPr="00183FDD">
        <w:rPr>
          <w:b/>
          <w:noProof/>
          <w:sz w:val="48"/>
          <w:szCs w:val="48"/>
        </w:rPr>
        <w:drawing>
          <wp:inline distT="0" distB="0" distL="0" distR="0" wp14:anchorId="0932332B" wp14:editId="65E1C08D">
            <wp:extent cx="767715" cy="716280"/>
            <wp:effectExtent l="0" t="0" r="0" b="7620"/>
            <wp:docPr id="1" name="Picture 1" descr="NAS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B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716280"/>
                    </a:xfrm>
                    <a:prstGeom prst="rect">
                      <a:avLst/>
                    </a:prstGeom>
                    <a:noFill/>
                    <a:ln>
                      <a:noFill/>
                    </a:ln>
                  </pic:spPr>
                </pic:pic>
              </a:graphicData>
            </a:graphic>
          </wp:inline>
        </w:drawing>
      </w:r>
      <w:r w:rsidR="005C0BCE" w:rsidRPr="005C0BCE">
        <w:rPr>
          <w:b/>
          <w:sz w:val="48"/>
          <w:szCs w:val="48"/>
        </w:rPr>
        <w:t>NASA Procedural Requirement</w:t>
      </w:r>
    </w:p>
    <w:p w14:paraId="2383C3A2" w14:textId="77777777" w:rsidR="005C0BCE" w:rsidRDefault="005C0BCE" w:rsidP="005C0BCE">
      <w:pPr>
        <w:spacing w:after="0"/>
      </w:pPr>
    </w:p>
    <w:p w14:paraId="10F4DA06" w14:textId="77777777" w:rsidR="005C0BCE" w:rsidRDefault="005C0BCE" w:rsidP="005C0BCE">
      <w:pPr>
        <w:spacing w:after="0"/>
      </w:pPr>
    </w:p>
    <w:p w14:paraId="1C5CC630" w14:textId="77777777" w:rsidR="005C0BCE" w:rsidRPr="005C0BCE" w:rsidRDefault="000524C0" w:rsidP="005C0BCE">
      <w:pPr>
        <w:spacing w:after="0"/>
        <w:rPr>
          <w:b/>
          <w:sz w:val="36"/>
          <w:szCs w:val="36"/>
        </w:rPr>
      </w:pPr>
      <w:r>
        <w:rPr>
          <w:b/>
          <w:sz w:val="36"/>
          <w:szCs w:val="36"/>
        </w:rPr>
        <w:t>NPR 9</w:t>
      </w:r>
      <w:r w:rsidR="00F71B61">
        <w:rPr>
          <w:b/>
          <w:sz w:val="36"/>
          <w:szCs w:val="36"/>
        </w:rPr>
        <w:t>6</w:t>
      </w:r>
      <w:r w:rsidR="00750A64">
        <w:rPr>
          <w:b/>
          <w:sz w:val="36"/>
          <w:szCs w:val="36"/>
        </w:rPr>
        <w:t>8</w:t>
      </w:r>
      <w:r w:rsidR="00F71B61">
        <w:rPr>
          <w:b/>
          <w:sz w:val="36"/>
          <w:szCs w:val="36"/>
        </w:rPr>
        <w:t>0</w:t>
      </w:r>
      <w:r w:rsidR="00B51BD1">
        <w:rPr>
          <w:b/>
          <w:sz w:val="36"/>
          <w:szCs w:val="36"/>
        </w:rPr>
        <w:t>.1B</w:t>
      </w:r>
    </w:p>
    <w:p w14:paraId="2E2BE725" w14:textId="77777777" w:rsidR="005C0BCE" w:rsidRDefault="005C0BCE" w:rsidP="005C0BCE">
      <w:pPr>
        <w:spacing w:after="0"/>
      </w:pPr>
    </w:p>
    <w:p w14:paraId="654F49C2" w14:textId="105FA220" w:rsidR="005C0BCE" w:rsidRPr="00AF6C8E" w:rsidRDefault="005C0BCE" w:rsidP="005C0BCE">
      <w:pPr>
        <w:spacing w:after="0"/>
        <w:rPr>
          <w:b/>
        </w:rPr>
      </w:pPr>
      <w:r w:rsidRPr="00AF6C8E">
        <w:rPr>
          <w:b/>
        </w:rPr>
        <w:t xml:space="preserve">Effective Date: </w:t>
      </w:r>
      <w:r w:rsidR="00A207A1">
        <w:rPr>
          <w:b/>
        </w:rPr>
        <w:t xml:space="preserve">August </w:t>
      </w:r>
      <w:r w:rsidR="00E533E5">
        <w:rPr>
          <w:b/>
        </w:rPr>
        <w:t>13</w:t>
      </w:r>
      <w:r w:rsidR="00A207A1">
        <w:rPr>
          <w:b/>
        </w:rPr>
        <w:t>, 2015</w:t>
      </w:r>
    </w:p>
    <w:p w14:paraId="2DCD9715" w14:textId="3FDB4DF0" w:rsidR="005C0BCE" w:rsidRPr="00AF6C8E" w:rsidRDefault="000524C0" w:rsidP="005C0BCE">
      <w:pPr>
        <w:spacing w:after="0"/>
        <w:rPr>
          <w:b/>
        </w:rPr>
      </w:pPr>
      <w:r w:rsidRPr="00AF6C8E">
        <w:rPr>
          <w:b/>
        </w:rPr>
        <w:t>Expiration Date</w:t>
      </w:r>
      <w:r w:rsidR="005C0BCE" w:rsidRPr="00AF6C8E">
        <w:rPr>
          <w:b/>
        </w:rPr>
        <w:t xml:space="preserve">: </w:t>
      </w:r>
      <w:r w:rsidR="001F51D6">
        <w:rPr>
          <w:b/>
        </w:rPr>
        <w:t xml:space="preserve">August </w:t>
      </w:r>
      <w:r w:rsidR="00E533E5">
        <w:rPr>
          <w:b/>
        </w:rPr>
        <w:t>13</w:t>
      </w:r>
      <w:r w:rsidR="001F51D6">
        <w:rPr>
          <w:b/>
        </w:rPr>
        <w:t>, 2020</w:t>
      </w:r>
    </w:p>
    <w:p w14:paraId="4329C0EB" w14:textId="77777777" w:rsidR="005C0BCE" w:rsidRDefault="005C0BCE" w:rsidP="005C0BCE">
      <w:pPr>
        <w:pBdr>
          <w:bottom w:val="single" w:sz="12" w:space="1" w:color="auto"/>
        </w:pBdr>
        <w:spacing w:after="0"/>
      </w:pPr>
    </w:p>
    <w:p w14:paraId="33DACB5E" w14:textId="4AC32F1C" w:rsidR="006233EF" w:rsidRPr="00183FDD" w:rsidRDefault="00B51BD1" w:rsidP="006233EF">
      <w:pPr>
        <w:spacing w:before="120" w:after="240"/>
        <w:rPr>
          <w:b/>
        </w:rPr>
      </w:pPr>
      <w:r w:rsidRPr="00183FDD">
        <w:rPr>
          <w:b/>
        </w:rPr>
        <w:t>NASA</w:t>
      </w:r>
      <w:r>
        <w:rPr>
          <w:b/>
        </w:rPr>
        <w:t>’s</w:t>
      </w:r>
      <w:r w:rsidRPr="00183FDD">
        <w:rPr>
          <w:b/>
        </w:rPr>
        <w:t xml:space="preserve"> </w:t>
      </w:r>
      <w:r w:rsidR="006233EF">
        <w:rPr>
          <w:b/>
        </w:rPr>
        <w:t>Grants and Cooperative Agreements Advance Payments</w:t>
      </w:r>
    </w:p>
    <w:p w14:paraId="6BB8A060" w14:textId="77777777" w:rsidR="005C0BCE" w:rsidRPr="00AF6C8E" w:rsidRDefault="005C0BCE" w:rsidP="006233EF">
      <w:pPr>
        <w:pBdr>
          <w:bottom w:val="single" w:sz="12" w:space="0" w:color="auto"/>
        </w:pBdr>
        <w:spacing w:before="120" w:after="0"/>
      </w:pPr>
    </w:p>
    <w:p w14:paraId="24ED6ACD" w14:textId="77777777" w:rsidR="007C5E94" w:rsidRDefault="005C0BCE" w:rsidP="006233EF">
      <w:pPr>
        <w:spacing w:before="120" w:after="0"/>
        <w:rPr>
          <w:b/>
        </w:rPr>
      </w:pPr>
      <w:r w:rsidRPr="00AF6C8E">
        <w:rPr>
          <w:b/>
        </w:rPr>
        <w:t>Responsible Office:  Office of the Chief Financial Officer</w:t>
      </w:r>
    </w:p>
    <w:p w14:paraId="432711EA" w14:textId="77777777" w:rsidR="00D919B1" w:rsidRDefault="00D919B1">
      <w:pPr>
        <w:spacing w:after="0"/>
        <w:rPr>
          <w:b/>
        </w:rPr>
      </w:pPr>
      <w:r>
        <w:rPr>
          <w:b/>
        </w:rPr>
        <w:br w:type="page"/>
      </w:r>
    </w:p>
    <w:p w14:paraId="4CE716DF" w14:textId="77777777" w:rsidR="00B52E03" w:rsidRPr="00461308" w:rsidRDefault="00196AA1" w:rsidP="00B52E03">
      <w:pPr>
        <w:spacing w:after="0"/>
        <w:rPr>
          <w:b/>
          <w:sz w:val="36"/>
          <w:szCs w:val="36"/>
        </w:rPr>
      </w:pPr>
      <w:r w:rsidRPr="00461308">
        <w:rPr>
          <w:b/>
          <w:sz w:val="36"/>
          <w:szCs w:val="36"/>
        </w:rPr>
        <w:lastRenderedPageBreak/>
        <w:t>Table of Contents</w:t>
      </w:r>
    </w:p>
    <w:p w14:paraId="5865532F" w14:textId="77777777" w:rsidR="00B52E03" w:rsidRPr="00B52E03" w:rsidRDefault="00B52E03" w:rsidP="00461308"/>
    <w:p w14:paraId="42351AAD" w14:textId="77777777" w:rsidR="006233EF" w:rsidRDefault="00461308" w:rsidP="00B51BD1">
      <w:pPr>
        <w:pStyle w:val="TOC1"/>
        <w:rPr>
          <w:rFonts w:asciiTheme="minorHAnsi" w:eastAsiaTheme="minorEastAsia" w:hAnsiTheme="minorHAnsi" w:cstheme="minorBidi"/>
          <w:noProof/>
          <w:sz w:val="22"/>
          <w:szCs w:val="22"/>
        </w:rPr>
      </w:pPr>
      <w:r>
        <w:fldChar w:fldCharType="begin"/>
      </w:r>
      <w:r>
        <w:instrText xml:space="preserve"> TOC \n \h \z \t "NPR 1,1,NPR 2,2,Preface 1,1,Preface 2,2,Appendix 1,1" </w:instrText>
      </w:r>
      <w:r>
        <w:fldChar w:fldCharType="separate"/>
      </w:r>
      <w:hyperlink w:anchor="_Toc424296212" w:history="1">
        <w:r w:rsidR="006233EF" w:rsidRPr="00947EFB">
          <w:rPr>
            <w:rStyle w:val="Hyperlink"/>
            <w:noProof/>
          </w:rPr>
          <w:t>Preface</w:t>
        </w:r>
      </w:hyperlink>
    </w:p>
    <w:p w14:paraId="0A4D2835" w14:textId="77777777" w:rsidR="00B51BD1" w:rsidRDefault="00B51BD1" w:rsidP="00B51BD1">
      <w:pPr>
        <w:pStyle w:val="TOC2"/>
      </w:pPr>
    </w:p>
    <w:p w14:paraId="4D0C2610" w14:textId="77777777" w:rsidR="006233EF" w:rsidRDefault="00CE4F21" w:rsidP="00B51BD1">
      <w:pPr>
        <w:pStyle w:val="TOC2"/>
        <w:rPr>
          <w:rFonts w:asciiTheme="minorHAnsi" w:eastAsiaTheme="minorEastAsia" w:hAnsiTheme="minorHAnsi" w:cstheme="minorBidi"/>
          <w:noProof/>
          <w:sz w:val="22"/>
          <w:szCs w:val="22"/>
        </w:rPr>
      </w:pPr>
      <w:hyperlink w:anchor="_Toc424296213" w:history="1">
        <w:r w:rsidR="006233EF" w:rsidRPr="00947EFB">
          <w:rPr>
            <w:rStyle w:val="Hyperlink"/>
            <w:noProof/>
          </w:rPr>
          <w:t>P.1 Purpose</w:t>
        </w:r>
      </w:hyperlink>
    </w:p>
    <w:p w14:paraId="661CFF1D" w14:textId="77777777" w:rsidR="006233EF" w:rsidRDefault="00CE4F21" w:rsidP="00B51BD1">
      <w:pPr>
        <w:pStyle w:val="TOC2"/>
        <w:rPr>
          <w:rFonts w:asciiTheme="minorHAnsi" w:eastAsiaTheme="minorEastAsia" w:hAnsiTheme="minorHAnsi" w:cstheme="minorBidi"/>
          <w:noProof/>
          <w:sz w:val="22"/>
          <w:szCs w:val="22"/>
        </w:rPr>
      </w:pPr>
      <w:hyperlink w:anchor="_Toc424296214" w:history="1">
        <w:r w:rsidR="006233EF" w:rsidRPr="00947EFB">
          <w:rPr>
            <w:rStyle w:val="Hyperlink"/>
            <w:noProof/>
          </w:rPr>
          <w:t>P.2 Applicability</w:t>
        </w:r>
      </w:hyperlink>
    </w:p>
    <w:p w14:paraId="0173EA6F" w14:textId="77777777" w:rsidR="006233EF" w:rsidRDefault="00CE4F21" w:rsidP="00B51BD1">
      <w:pPr>
        <w:pStyle w:val="TOC2"/>
        <w:rPr>
          <w:rFonts w:asciiTheme="minorHAnsi" w:eastAsiaTheme="minorEastAsia" w:hAnsiTheme="minorHAnsi" w:cstheme="minorBidi"/>
          <w:noProof/>
          <w:sz w:val="22"/>
          <w:szCs w:val="22"/>
        </w:rPr>
      </w:pPr>
      <w:hyperlink w:anchor="_Toc424296215" w:history="1">
        <w:r w:rsidR="006233EF" w:rsidRPr="00947EFB">
          <w:rPr>
            <w:rStyle w:val="Hyperlink"/>
            <w:noProof/>
          </w:rPr>
          <w:t>P.3 Authority</w:t>
        </w:r>
      </w:hyperlink>
    </w:p>
    <w:p w14:paraId="56F55135" w14:textId="77777777" w:rsidR="006233EF" w:rsidRDefault="00CE4F21" w:rsidP="00B51BD1">
      <w:pPr>
        <w:pStyle w:val="TOC2"/>
        <w:rPr>
          <w:rFonts w:asciiTheme="minorHAnsi" w:eastAsiaTheme="minorEastAsia" w:hAnsiTheme="minorHAnsi" w:cstheme="minorBidi"/>
          <w:noProof/>
          <w:sz w:val="22"/>
          <w:szCs w:val="22"/>
        </w:rPr>
      </w:pPr>
      <w:hyperlink w:anchor="_Toc424296216" w:history="1">
        <w:r w:rsidR="006233EF" w:rsidRPr="00947EFB">
          <w:rPr>
            <w:rStyle w:val="Hyperlink"/>
            <w:noProof/>
          </w:rPr>
          <w:t>P.4 Applicable Documents and Forms</w:t>
        </w:r>
      </w:hyperlink>
    </w:p>
    <w:p w14:paraId="1C393087" w14:textId="77777777" w:rsidR="006233EF" w:rsidRDefault="00CE4F21" w:rsidP="00B51BD1">
      <w:pPr>
        <w:pStyle w:val="TOC2"/>
        <w:rPr>
          <w:rFonts w:asciiTheme="minorHAnsi" w:eastAsiaTheme="minorEastAsia" w:hAnsiTheme="minorHAnsi" w:cstheme="minorBidi"/>
          <w:noProof/>
          <w:sz w:val="22"/>
          <w:szCs w:val="22"/>
        </w:rPr>
      </w:pPr>
      <w:hyperlink w:anchor="_Toc424296217" w:history="1">
        <w:r w:rsidR="006233EF" w:rsidRPr="00947EFB">
          <w:rPr>
            <w:rStyle w:val="Hyperlink"/>
            <w:noProof/>
          </w:rPr>
          <w:t>P.5 Measurement/Verification</w:t>
        </w:r>
      </w:hyperlink>
    </w:p>
    <w:p w14:paraId="59077AEA" w14:textId="77777777" w:rsidR="006233EF" w:rsidRDefault="00CE4F21" w:rsidP="00B51BD1">
      <w:pPr>
        <w:pStyle w:val="TOC2"/>
        <w:rPr>
          <w:rFonts w:asciiTheme="minorHAnsi" w:eastAsiaTheme="minorEastAsia" w:hAnsiTheme="minorHAnsi" w:cstheme="minorBidi"/>
          <w:noProof/>
          <w:sz w:val="22"/>
          <w:szCs w:val="22"/>
        </w:rPr>
      </w:pPr>
      <w:hyperlink w:anchor="_Toc424296218" w:history="1">
        <w:r w:rsidR="006233EF" w:rsidRPr="00947EFB">
          <w:rPr>
            <w:rStyle w:val="Hyperlink"/>
            <w:noProof/>
          </w:rPr>
          <w:t>P.6 Cancellation</w:t>
        </w:r>
      </w:hyperlink>
    </w:p>
    <w:p w14:paraId="0F0354FA" w14:textId="77777777" w:rsidR="00B51BD1" w:rsidRDefault="00B51BD1" w:rsidP="00B51BD1">
      <w:pPr>
        <w:pStyle w:val="TOC1"/>
      </w:pPr>
    </w:p>
    <w:p w14:paraId="0DDFB8DD" w14:textId="77777777" w:rsidR="006233EF" w:rsidRDefault="00CE4F21" w:rsidP="00B51BD1">
      <w:pPr>
        <w:pStyle w:val="TOC1"/>
        <w:rPr>
          <w:rFonts w:asciiTheme="minorHAnsi" w:eastAsiaTheme="minorEastAsia" w:hAnsiTheme="minorHAnsi" w:cstheme="minorBidi"/>
          <w:noProof/>
          <w:sz w:val="22"/>
          <w:szCs w:val="22"/>
        </w:rPr>
      </w:pPr>
      <w:hyperlink w:anchor="_Toc424296219" w:history="1">
        <w:r w:rsidR="006233EF" w:rsidRPr="00947EFB">
          <w:rPr>
            <w:rStyle w:val="Hyperlink"/>
            <w:noProof/>
          </w:rPr>
          <w:t>Chapter 1 Financial Management of Advance Payments</w:t>
        </w:r>
      </w:hyperlink>
    </w:p>
    <w:p w14:paraId="5AC3B90C" w14:textId="77777777" w:rsidR="00B51BD1" w:rsidRDefault="00B51BD1" w:rsidP="00B51BD1">
      <w:pPr>
        <w:pStyle w:val="TOC2"/>
      </w:pPr>
    </w:p>
    <w:p w14:paraId="219ED522" w14:textId="77777777" w:rsidR="006233EF" w:rsidRDefault="00CE4F21" w:rsidP="00B51BD1">
      <w:pPr>
        <w:pStyle w:val="TOC2"/>
        <w:rPr>
          <w:rFonts w:asciiTheme="minorHAnsi" w:eastAsiaTheme="minorEastAsia" w:hAnsiTheme="minorHAnsi" w:cstheme="minorBidi"/>
          <w:noProof/>
          <w:sz w:val="22"/>
          <w:szCs w:val="22"/>
        </w:rPr>
      </w:pPr>
      <w:hyperlink w:anchor="_Toc424296220" w:history="1">
        <w:r w:rsidR="006233EF" w:rsidRPr="00947EFB">
          <w:rPr>
            <w:rStyle w:val="Hyperlink"/>
            <w:noProof/>
          </w:rPr>
          <w:t>1.1 Overview</w:t>
        </w:r>
      </w:hyperlink>
    </w:p>
    <w:p w14:paraId="65632FAC" w14:textId="77777777" w:rsidR="006233EF" w:rsidRDefault="00CE4F21" w:rsidP="00B51BD1">
      <w:pPr>
        <w:pStyle w:val="TOC2"/>
        <w:rPr>
          <w:rFonts w:asciiTheme="minorHAnsi" w:eastAsiaTheme="minorEastAsia" w:hAnsiTheme="minorHAnsi" w:cstheme="minorBidi"/>
          <w:noProof/>
          <w:sz w:val="22"/>
          <w:szCs w:val="22"/>
        </w:rPr>
      </w:pPr>
      <w:hyperlink w:anchor="_Toc424296221" w:history="1">
        <w:r w:rsidR="006233EF" w:rsidRPr="00947EFB">
          <w:rPr>
            <w:rStyle w:val="Hyperlink"/>
            <w:noProof/>
          </w:rPr>
          <w:t>1.2 Advance Payment Requirements</w:t>
        </w:r>
      </w:hyperlink>
    </w:p>
    <w:p w14:paraId="2928CDC6" w14:textId="77777777" w:rsidR="006233EF" w:rsidRDefault="00CE4F21" w:rsidP="00B51BD1">
      <w:pPr>
        <w:pStyle w:val="TOC2"/>
        <w:rPr>
          <w:rFonts w:asciiTheme="minorHAnsi" w:eastAsiaTheme="minorEastAsia" w:hAnsiTheme="minorHAnsi" w:cstheme="minorBidi"/>
          <w:noProof/>
          <w:sz w:val="22"/>
          <w:szCs w:val="22"/>
        </w:rPr>
      </w:pPr>
      <w:hyperlink w:anchor="_Toc424296222" w:history="1">
        <w:r w:rsidR="006233EF" w:rsidRPr="00947EFB">
          <w:rPr>
            <w:rStyle w:val="Hyperlink"/>
            <w:noProof/>
          </w:rPr>
          <w:t>1.3 Advance Payment Administration</w:t>
        </w:r>
      </w:hyperlink>
    </w:p>
    <w:p w14:paraId="1D6AFB2D" w14:textId="38315510" w:rsidR="006233EF" w:rsidRDefault="00CE4F21" w:rsidP="00B51BD1">
      <w:pPr>
        <w:pStyle w:val="TOC2"/>
        <w:rPr>
          <w:rFonts w:asciiTheme="minorHAnsi" w:eastAsiaTheme="minorEastAsia" w:hAnsiTheme="minorHAnsi" w:cstheme="minorBidi"/>
          <w:noProof/>
          <w:sz w:val="22"/>
          <w:szCs w:val="22"/>
        </w:rPr>
      </w:pPr>
      <w:hyperlink w:anchor="_Toc424296223" w:history="1">
        <w:r w:rsidR="006233EF" w:rsidRPr="00947EFB">
          <w:rPr>
            <w:rStyle w:val="Hyperlink"/>
            <w:noProof/>
          </w:rPr>
          <w:t>1.4 Advance Payment Account Closure</w:t>
        </w:r>
      </w:hyperlink>
    </w:p>
    <w:p w14:paraId="2C32A373" w14:textId="77777777" w:rsidR="006233EF" w:rsidRDefault="00CE4F21" w:rsidP="00B51BD1">
      <w:pPr>
        <w:pStyle w:val="TOC2"/>
        <w:rPr>
          <w:rFonts w:asciiTheme="minorHAnsi" w:eastAsiaTheme="minorEastAsia" w:hAnsiTheme="minorHAnsi" w:cstheme="minorBidi"/>
          <w:noProof/>
          <w:sz w:val="22"/>
          <w:szCs w:val="22"/>
        </w:rPr>
      </w:pPr>
      <w:hyperlink w:anchor="_Toc424296224" w:history="1">
        <w:r w:rsidR="006233EF" w:rsidRPr="00947EFB">
          <w:rPr>
            <w:rStyle w:val="Hyperlink"/>
            <w:noProof/>
          </w:rPr>
          <w:t>1.5 Roles and Responsibilities</w:t>
        </w:r>
      </w:hyperlink>
    </w:p>
    <w:p w14:paraId="2DB52BCD" w14:textId="77777777" w:rsidR="00B51BD1" w:rsidRDefault="00B51BD1" w:rsidP="00B51BD1">
      <w:pPr>
        <w:pStyle w:val="TOC1"/>
      </w:pPr>
    </w:p>
    <w:p w14:paraId="1A5E13B8" w14:textId="77777777" w:rsidR="006233EF" w:rsidRDefault="00CE4F21" w:rsidP="00B51BD1">
      <w:pPr>
        <w:pStyle w:val="TOC1"/>
        <w:rPr>
          <w:rFonts w:asciiTheme="minorHAnsi" w:eastAsiaTheme="minorEastAsia" w:hAnsiTheme="minorHAnsi" w:cstheme="minorBidi"/>
          <w:noProof/>
          <w:sz w:val="22"/>
          <w:szCs w:val="22"/>
        </w:rPr>
      </w:pPr>
      <w:hyperlink w:anchor="_Toc424296225" w:history="1">
        <w:r w:rsidR="006233EF" w:rsidRPr="00947EFB">
          <w:rPr>
            <w:rStyle w:val="Hyperlink"/>
            <w:noProof/>
          </w:rPr>
          <w:t>Chapter 2 Suspension and Termination of Advance Payments</w:t>
        </w:r>
      </w:hyperlink>
    </w:p>
    <w:p w14:paraId="26272ED2" w14:textId="77777777" w:rsidR="00B51BD1" w:rsidRDefault="00B51BD1" w:rsidP="00B51BD1">
      <w:pPr>
        <w:pStyle w:val="TOC2"/>
      </w:pPr>
    </w:p>
    <w:p w14:paraId="483BF1E0" w14:textId="77777777" w:rsidR="006233EF" w:rsidRDefault="00CE4F21" w:rsidP="00B51BD1">
      <w:pPr>
        <w:pStyle w:val="TOC2"/>
        <w:rPr>
          <w:rFonts w:asciiTheme="minorHAnsi" w:eastAsiaTheme="minorEastAsia" w:hAnsiTheme="minorHAnsi" w:cstheme="minorBidi"/>
          <w:noProof/>
          <w:sz w:val="22"/>
          <w:szCs w:val="22"/>
        </w:rPr>
      </w:pPr>
      <w:hyperlink w:anchor="_Toc424296226" w:history="1">
        <w:r w:rsidR="006233EF" w:rsidRPr="00947EFB">
          <w:rPr>
            <w:rStyle w:val="Hyperlink"/>
            <w:noProof/>
          </w:rPr>
          <w:t>2.1 Overview</w:t>
        </w:r>
      </w:hyperlink>
    </w:p>
    <w:p w14:paraId="3EBAF212" w14:textId="77777777" w:rsidR="006233EF" w:rsidRDefault="00CE4F21" w:rsidP="00B51BD1">
      <w:pPr>
        <w:pStyle w:val="TOC2"/>
        <w:rPr>
          <w:rFonts w:asciiTheme="minorHAnsi" w:eastAsiaTheme="minorEastAsia" w:hAnsiTheme="minorHAnsi" w:cstheme="minorBidi"/>
          <w:noProof/>
          <w:sz w:val="22"/>
          <w:szCs w:val="22"/>
        </w:rPr>
      </w:pPr>
      <w:hyperlink w:anchor="_Toc424296227" w:history="1">
        <w:r w:rsidR="006233EF" w:rsidRPr="00947EFB">
          <w:rPr>
            <w:rStyle w:val="Hyperlink"/>
            <w:noProof/>
          </w:rPr>
          <w:t>2.2 Agency Requirements</w:t>
        </w:r>
      </w:hyperlink>
    </w:p>
    <w:p w14:paraId="24E57242" w14:textId="77777777" w:rsidR="006233EF" w:rsidRDefault="00CE4F21" w:rsidP="00B51BD1">
      <w:pPr>
        <w:pStyle w:val="TOC2"/>
        <w:rPr>
          <w:rFonts w:asciiTheme="minorHAnsi" w:eastAsiaTheme="minorEastAsia" w:hAnsiTheme="minorHAnsi" w:cstheme="minorBidi"/>
          <w:noProof/>
          <w:sz w:val="22"/>
          <w:szCs w:val="22"/>
        </w:rPr>
      </w:pPr>
      <w:hyperlink w:anchor="_Toc424296228" w:history="1">
        <w:r w:rsidR="006233EF" w:rsidRPr="00947EFB">
          <w:rPr>
            <w:rStyle w:val="Hyperlink"/>
            <w:noProof/>
          </w:rPr>
          <w:t>2.3 Offending Conditions and Notification</w:t>
        </w:r>
      </w:hyperlink>
    </w:p>
    <w:p w14:paraId="115D2007" w14:textId="77777777" w:rsidR="006233EF" w:rsidRDefault="00CE4F21" w:rsidP="00B51BD1">
      <w:pPr>
        <w:pStyle w:val="TOC2"/>
        <w:rPr>
          <w:rFonts w:asciiTheme="minorHAnsi" w:eastAsiaTheme="minorEastAsia" w:hAnsiTheme="minorHAnsi" w:cstheme="minorBidi"/>
          <w:noProof/>
          <w:sz w:val="22"/>
          <w:szCs w:val="22"/>
        </w:rPr>
      </w:pPr>
      <w:hyperlink w:anchor="_Toc424296229" w:history="1">
        <w:r w:rsidR="006233EF" w:rsidRPr="00947EFB">
          <w:rPr>
            <w:rStyle w:val="Hyperlink"/>
            <w:noProof/>
          </w:rPr>
          <w:t>2.4 Roles and Responsibilities</w:t>
        </w:r>
      </w:hyperlink>
    </w:p>
    <w:p w14:paraId="3CA25C0C" w14:textId="77777777" w:rsidR="00B51BD1" w:rsidRDefault="00B51BD1" w:rsidP="00B51BD1">
      <w:pPr>
        <w:pStyle w:val="TOC1"/>
      </w:pPr>
    </w:p>
    <w:p w14:paraId="3BB21858" w14:textId="77777777" w:rsidR="006233EF" w:rsidRDefault="00CE4F21" w:rsidP="00B51BD1">
      <w:pPr>
        <w:pStyle w:val="TOC1"/>
        <w:rPr>
          <w:rFonts w:asciiTheme="minorHAnsi" w:eastAsiaTheme="minorEastAsia" w:hAnsiTheme="minorHAnsi" w:cstheme="minorBidi"/>
          <w:noProof/>
          <w:sz w:val="22"/>
          <w:szCs w:val="22"/>
        </w:rPr>
      </w:pPr>
      <w:hyperlink w:anchor="_Toc424296230" w:history="1">
        <w:r w:rsidR="006233EF" w:rsidRPr="00947EFB">
          <w:rPr>
            <w:rStyle w:val="Hyperlink"/>
            <w:noProof/>
          </w:rPr>
          <w:t>Appendix A. Definitions</w:t>
        </w:r>
      </w:hyperlink>
    </w:p>
    <w:p w14:paraId="3A5CB598" w14:textId="77777777" w:rsidR="00B51BD1" w:rsidRDefault="00B51BD1" w:rsidP="00B51BD1">
      <w:pPr>
        <w:pStyle w:val="TOC1"/>
      </w:pPr>
    </w:p>
    <w:p w14:paraId="11AF68F4" w14:textId="77777777" w:rsidR="006233EF" w:rsidRDefault="00CE4F21" w:rsidP="00B51BD1">
      <w:pPr>
        <w:pStyle w:val="TOC1"/>
        <w:rPr>
          <w:rFonts w:asciiTheme="minorHAnsi" w:eastAsiaTheme="minorEastAsia" w:hAnsiTheme="minorHAnsi" w:cstheme="minorBidi"/>
          <w:noProof/>
          <w:sz w:val="22"/>
          <w:szCs w:val="22"/>
        </w:rPr>
      </w:pPr>
      <w:hyperlink w:anchor="_Toc424296231" w:history="1">
        <w:r w:rsidR="006233EF" w:rsidRPr="00947EFB">
          <w:rPr>
            <w:rStyle w:val="Hyperlink"/>
            <w:noProof/>
          </w:rPr>
          <w:t>Appendix B. Acronyms</w:t>
        </w:r>
      </w:hyperlink>
    </w:p>
    <w:p w14:paraId="115A1F3A" w14:textId="77777777" w:rsidR="000625F5" w:rsidRPr="00461308" w:rsidRDefault="00461308" w:rsidP="00750A64">
      <w:pPr>
        <w:pStyle w:val="Preface1"/>
      </w:pPr>
      <w:r>
        <w:rPr>
          <w:szCs w:val="28"/>
        </w:rPr>
        <w:fldChar w:fldCharType="end"/>
      </w:r>
      <w:r w:rsidR="003C0720">
        <w:rPr>
          <w:szCs w:val="28"/>
        </w:rPr>
        <w:br w:type="page"/>
      </w:r>
    </w:p>
    <w:p w14:paraId="496CAB98" w14:textId="77777777" w:rsidR="006F3495" w:rsidRPr="006233EF" w:rsidRDefault="006F3495" w:rsidP="006233EF">
      <w:pPr>
        <w:pStyle w:val="Preface1"/>
      </w:pPr>
      <w:bookmarkStart w:id="0" w:name="_Toc421521247"/>
      <w:bookmarkStart w:id="1" w:name="_Toc424296212"/>
      <w:r w:rsidRPr="006233EF">
        <w:lastRenderedPageBreak/>
        <w:t>Preface</w:t>
      </w:r>
      <w:bookmarkEnd w:id="0"/>
      <w:bookmarkEnd w:id="1"/>
    </w:p>
    <w:p w14:paraId="68FFB08C" w14:textId="77777777" w:rsidR="006F3495" w:rsidRPr="006233EF" w:rsidRDefault="006F3495" w:rsidP="006233EF">
      <w:pPr>
        <w:pStyle w:val="Preface2"/>
      </w:pPr>
      <w:bookmarkStart w:id="2" w:name="_Toc398881805"/>
      <w:bookmarkStart w:id="3" w:name="_Toc421521248"/>
      <w:bookmarkStart w:id="4" w:name="_Toc424296213"/>
      <w:r w:rsidRPr="006233EF">
        <w:t>Purpose</w:t>
      </w:r>
      <w:bookmarkEnd w:id="2"/>
      <w:bookmarkEnd w:id="3"/>
      <w:bookmarkEnd w:id="4"/>
    </w:p>
    <w:p w14:paraId="3424CBE4" w14:textId="5763B777" w:rsidR="006F3495" w:rsidRDefault="00B51BD1" w:rsidP="006F3495">
      <w:pPr>
        <w:pStyle w:val="NPRlist10"/>
      </w:pPr>
      <w:r>
        <w:t xml:space="preserve">These </w:t>
      </w:r>
      <w:r w:rsidR="006F3495">
        <w:t>NASA Procedural Requirement</w:t>
      </w:r>
      <w:r>
        <w:t>s</w:t>
      </w:r>
      <w:r w:rsidR="006F3495">
        <w:t xml:space="preserve"> (NPR) establish requirements for the financial management of advance payments to other than commercial recipients for grants and cooperative agreements and the suspension or termination of advance payments when determined appropriate.   </w:t>
      </w:r>
    </w:p>
    <w:p w14:paraId="02AECC4A" w14:textId="29836CF6" w:rsidR="006F3495" w:rsidRDefault="006F3495" w:rsidP="006F3495">
      <w:pPr>
        <w:pStyle w:val="NPRlist10"/>
        <w:rPr>
          <w:rStyle w:val="StyleLatinTimesRoman12pt"/>
        </w:rPr>
      </w:pPr>
      <w:r>
        <w:rPr>
          <w:rStyle w:val="StyleLatinTimesRoman12pt"/>
        </w:rPr>
        <w:t xml:space="preserve">Grants and cooperative agreements refer to agreements as defined in 31 United States Code (U.S.C.) </w:t>
      </w:r>
      <w:r>
        <w:t>§§6304-6305 and 2 Code of Federal Regulation (CFR) §§200.24 and 200.51</w:t>
      </w:r>
      <w:r>
        <w:rPr>
          <w:rStyle w:val="StyleLatinTimesRoman12pt"/>
        </w:rPr>
        <w:t xml:space="preserve">.  These citations delineate a grant and cooperative agreement from a procurement contract based upon the principal purpose.  A grant or cooperative agreement’s </w:t>
      </w:r>
      <w:r w:rsidRPr="002D4855">
        <w:rPr>
          <w:rStyle w:val="StyleLatinTimesRoman12pt"/>
        </w:rPr>
        <w:t>principal purpose is to tr</w:t>
      </w:r>
      <w:r w:rsidR="00D13575">
        <w:rPr>
          <w:rStyle w:val="StyleLatinTimesRoman12pt"/>
        </w:rPr>
        <w:t>ansfer a thing of value to the s</w:t>
      </w:r>
      <w:r w:rsidRPr="002D4855">
        <w:rPr>
          <w:rStyle w:val="StyleLatinTimesRoman12pt"/>
        </w:rPr>
        <w:t>tate or local government or other recipient to carry out a public purpose</w:t>
      </w:r>
      <w:r>
        <w:rPr>
          <w:rStyle w:val="StyleLatinTimesRoman12pt"/>
        </w:rPr>
        <w:t xml:space="preserve">; whereas, a procurement contract’s principal purpose is </w:t>
      </w:r>
      <w:r w:rsidRPr="002D4855">
        <w:rPr>
          <w:rStyle w:val="StyleLatinTimesRoman12pt"/>
        </w:rPr>
        <w:t>to acquire (by purchase, lease, or barter) property or services for the direct benefit or use of the United States Government</w:t>
      </w:r>
      <w:r>
        <w:rPr>
          <w:rStyle w:val="StyleLatinTimesRoman12pt"/>
        </w:rPr>
        <w:t>.</w:t>
      </w:r>
    </w:p>
    <w:p w14:paraId="06DFD9ED" w14:textId="77777777" w:rsidR="006F3495" w:rsidRDefault="006F3495" w:rsidP="006F3495">
      <w:pPr>
        <w:pStyle w:val="NPRlist10"/>
        <w:rPr>
          <w:rStyle w:val="StyleLatinTimesRoman12pt"/>
        </w:rPr>
      </w:pPr>
      <w:r>
        <w:t>For other financial-related information, refer to 2 CFR §200 Subpart D; 2 CFR §1800; and the NASA Grant and Cooperative Agreement Manual.</w:t>
      </w:r>
    </w:p>
    <w:p w14:paraId="54B7FE90" w14:textId="77777777" w:rsidR="006F3495" w:rsidRDefault="006F3495" w:rsidP="006F3495">
      <w:pPr>
        <w:pStyle w:val="Preface2"/>
      </w:pPr>
      <w:bookmarkStart w:id="5" w:name="_Toc398881806"/>
      <w:bookmarkStart w:id="6" w:name="_Toc421521249"/>
      <w:bookmarkStart w:id="7" w:name="_Toc424296214"/>
      <w:r>
        <w:t>Applicability</w:t>
      </w:r>
      <w:bookmarkEnd w:id="5"/>
      <w:bookmarkEnd w:id="6"/>
      <w:bookmarkEnd w:id="7"/>
    </w:p>
    <w:p w14:paraId="31ADC441" w14:textId="4A3BBF86" w:rsidR="006F3495" w:rsidRDefault="006F3495" w:rsidP="009D0E3A">
      <w:pPr>
        <w:pStyle w:val="NPRlist10"/>
        <w:numPr>
          <w:ilvl w:val="0"/>
          <w:numId w:val="8"/>
        </w:numPr>
      </w:pPr>
      <w:r w:rsidRPr="007058EF">
        <w:t>This NPR is applicable to NASA Headquarters and NASA Centers, including Component Facilities and Technical and Services Support Centers</w:t>
      </w:r>
      <w:r w:rsidRPr="00F468CA">
        <w:t xml:space="preserve">.  This NPR applies to </w:t>
      </w:r>
      <w:r w:rsidR="00D13575">
        <w:t xml:space="preserve">the </w:t>
      </w:r>
      <w:r w:rsidRPr="00F468CA">
        <w:t>Jet Propulsion Laboratory,</w:t>
      </w:r>
      <w:r w:rsidR="00B51BD1">
        <w:t xml:space="preserve"> a Federally Funded Research and Development Center,</w:t>
      </w:r>
      <w:r w:rsidRPr="00F468CA">
        <w:t xml:space="preserve"> grant recipients, or parties to agreements only to the extent specified or referenced in the appropriate grants or cooperative agreements.</w:t>
      </w:r>
      <w:r>
        <w:t xml:space="preserve"> </w:t>
      </w:r>
    </w:p>
    <w:p w14:paraId="724EB605" w14:textId="6137D2C2" w:rsidR="006F3495" w:rsidRPr="00657275" w:rsidRDefault="006F3495" w:rsidP="005314E5">
      <w:pPr>
        <w:pStyle w:val="NPRlist10"/>
      </w:pPr>
      <w:r w:rsidRPr="00657275">
        <w:rPr>
          <w:rStyle w:val="StyleLatinTimesRoman12pt"/>
        </w:rPr>
        <w:t>This</w:t>
      </w:r>
      <w:r w:rsidRPr="00657275">
        <w:t xml:space="preserve"> NPR does not pertain to payments for grants and cooperative agreements with commercial </w:t>
      </w:r>
      <w:r>
        <w:t>recipients</w:t>
      </w:r>
      <w:r w:rsidRPr="00657275">
        <w:t xml:space="preserve">.  Commercial </w:t>
      </w:r>
      <w:r>
        <w:t>recipients</w:t>
      </w:r>
      <w:r w:rsidRPr="00657275">
        <w:t xml:space="preserve"> are paid in accordance with disbursing regulations and guidance, such as, Title 31 U.S.C., 31 </w:t>
      </w:r>
      <w:r>
        <w:t>CFR</w:t>
      </w:r>
      <w:r w:rsidRPr="00657275">
        <w:t xml:space="preserve">, and NPR 9631.1.  Commercial firms are required to submit invoices.  Payments, generally reimbursement </w:t>
      </w:r>
      <w:r w:rsidRPr="00FB21E1">
        <w:t xml:space="preserve">payment </w:t>
      </w:r>
      <w:r w:rsidRPr="00657275">
        <w:t xml:space="preserve">method, are based on incurred costs when the commercial firm has a grant agreement or specific milestones when the commercial firm has a cooperative agreement.  Refer to 14 </w:t>
      </w:r>
      <w:r>
        <w:t>CFR</w:t>
      </w:r>
      <w:r w:rsidRPr="00657275">
        <w:t xml:space="preserve"> </w:t>
      </w:r>
      <w:r>
        <w:t>§</w:t>
      </w:r>
      <w:r w:rsidRPr="00657275">
        <w:t xml:space="preserve">1274.204 </w:t>
      </w:r>
      <w:r w:rsidRPr="004E4A5E">
        <w:t xml:space="preserve">and 2 CFR 1800.305 </w:t>
      </w:r>
      <w:r w:rsidRPr="00657275">
        <w:t xml:space="preserve">for commercial grant guidance.  If advance payments to a commercial recipient are warranted, NASA </w:t>
      </w:r>
      <w:r w:rsidR="00E13408">
        <w:t>will</w:t>
      </w:r>
      <w:r w:rsidR="00E13408" w:rsidRPr="00657275">
        <w:t xml:space="preserve"> </w:t>
      </w:r>
      <w:r w:rsidRPr="00657275">
        <w:t>use the policy est</w:t>
      </w:r>
      <w:r w:rsidR="002126D6">
        <w:t>ablished in the 48 CFR Subpart 32.4, Advance Payments for Non-Commercial Items</w:t>
      </w:r>
      <w:r w:rsidRPr="00657275">
        <w:t xml:space="preserve"> a</w:t>
      </w:r>
      <w:r w:rsidR="002126D6">
        <w:t>nd the 48 CFR</w:t>
      </w:r>
      <w:r w:rsidRPr="00657275">
        <w:t xml:space="preserve"> Subpart 1832.4</w:t>
      </w:r>
      <w:r w:rsidR="002126D6">
        <w:t>, Advance Payments for Non-Commercial Items,</w:t>
      </w:r>
      <w:r w:rsidR="002622FC">
        <w:t xml:space="preserve"> which</w:t>
      </w:r>
      <w:r w:rsidRPr="00657275">
        <w:t xml:space="preserve"> contains NASA approval authorities for advance payments on contracts.</w:t>
      </w:r>
    </w:p>
    <w:p w14:paraId="50A9D7CD" w14:textId="77777777" w:rsidR="006F3495" w:rsidRDefault="006F3495" w:rsidP="006F3495">
      <w:pPr>
        <w:pStyle w:val="NPRlist10"/>
      </w:pPr>
      <w:r w:rsidRPr="00657275">
        <w:t xml:space="preserve">In this NPR, all mandatory actions (i.e., requirements) are denoted by statements containing the term “shall.” </w:t>
      </w:r>
      <w:r>
        <w:t xml:space="preserve"> </w:t>
      </w:r>
      <w:r w:rsidRPr="00657275">
        <w:t>The terms:  “may” or “can” denote discretionary privilege or permission, “should” denotes a good practice and is recommended, but not required, “will” denotes expected outcome, and “are/is” denotes descriptive material.</w:t>
      </w:r>
    </w:p>
    <w:p w14:paraId="1EC8A23A" w14:textId="4C067813" w:rsidR="00A55439" w:rsidRDefault="006F3495" w:rsidP="004106E5">
      <w:pPr>
        <w:pStyle w:val="NPRlist10"/>
      </w:pPr>
      <w:r w:rsidRPr="00657275">
        <w:t xml:space="preserve">In this NPR, all document citations are assumed to be the latest version unless otherwise noted. </w:t>
      </w:r>
    </w:p>
    <w:p w14:paraId="2B2AAA39" w14:textId="77777777" w:rsidR="00EA5317" w:rsidRDefault="00EA5317" w:rsidP="00EA5317">
      <w:pPr>
        <w:pStyle w:val="NPRlist10"/>
        <w:numPr>
          <w:ilvl w:val="0"/>
          <w:numId w:val="0"/>
        </w:numPr>
      </w:pPr>
    </w:p>
    <w:p w14:paraId="475378DE" w14:textId="40E5C9D5" w:rsidR="006F3495" w:rsidRDefault="006F3495" w:rsidP="006F3495">
      <w:pPr>
        <w:pStyle w:val="Preface2"/>
      </w:pPr>
      <w:bookmarkStart w:id="8" w:name="_Toc398881807"/>
      <w:bookmarkStart w:id="9" w:name="_Toc421521250"/>
      <w:bookmarkStart w:id="10" w:name="_Toc424296215"/>
      <w:r>
        <w:lastRenderedPageBreak/>
        <w:t>Authority</w:t>
      </w:r>
      <w:bookmarkEnd w:id="8"/>
      <w:bookmarkEnd w:id="9"/>
      <w:bookmarkEnd w:id="10"/>
    </w:p>
    <w:p w14:paraId="6850C027" w14:textId="77777777" w:rsidR="006F3495" w:rsidRDefault="006F3495" w:rsidP="009D0E3A">
      <w:pPr>
        <w:pStyle w:val="NPRlist10"/>
        <w:numPr>
          <w:ilvl w:val="0"/>
          <w:numId w:val="9"/>
        </w:numPr>
      </w:pPr>
      <w:r>
        <w:t xml:space="preserve">Chief Financial Officers Act of 1990, 31 U.S.C. §902(a)(5). </w:t>
      </w:r>
    </w:p>
    <w:p w14:paraId="7CE87A65" w14:textId="2FCF52DE" w:rsidR="006F3495" w:rsidRDefault="006F3495" w:rsidP="006F3495">
      <w:pPr>
        <w:pStyle w:val="NPRlist10"/>
      </w:pPr>
      <w:r>
        <w:t>Procurement Contracts and Grant and Cooperative Agreements, 31 U.S.C. Chapter 63.</w:t>
      </w:r>
    </w:p>
    <w:p w14:paraId="7DAC79E9" w14:textId="77777777" w:rsidR="006F3495" w:rsidRDefault="006F3495" w:rsidP="006F3495">
      <w:pPr>
        <w:pStyle w:val="NPRlist10"/>
      </w:pPr>
      <w:r>
        <w:t xml:space="preserve">National Aeronautics and Space Act, 51 U.S.C. §20113(e). </w:t>
      </w:r>
    </w:p>
    <w:p w14:paraId="5CCDDE59" w14:textId="77777777" w:rsidR="006F3495" w:rsidRDefault="006F3495" w:rsidP="006F3495">
      <w:pPr>
        <w:pStyle w:val="Preface2"/>
      </w:pPr>
      <w:bookmarkStart w:id="11" w:name="_Toc398881808"/>
      <w:bookmarkStart w:id="12" w:name="_Toc421521251"/>
      <w:bookmarkStart w:id="13" w:name="_Toc424296216"/>
      <w:r>
        <w:t>Applicable Documents and Forms</w:t>
      </w:r>
      <w:bookmarkEnd w:id="11"/>
      <w:bookmarkEnd w:id="12"/>
      <w:bookmarkEnd w:id="13"/>
    </w:p>
    <w:p w14:paraId="6B766EDB" w14:textId="132A721D" w:rsidR="001446FC" w:rsidRDefault="000457E0" w:rsidP="009D0E3A">
      <w:pPr>
        <w:pStyle w:val="NPRlist10"/>
        <w:numPr>
          <w:ilvl w:val="0"/>
          <w:numId w:val="10"/>
        </w:numPr>
      </w:pPr>
      <w:r>
        <w:rPr>
          <w:rStyle w:val="StyleLatinTimesRoman12pt"/>
        </w:rPr>
        <w:t xml:space="preserve">31 </w:t>
      </w:r>
      <w:r w:rsidR="00D13575">
        <w:rPr>
          <w:rStyle w:val="StyleLatinTimesRoman12pt"/>
        </w:rPr>
        <w:t>U.S.C.</w:t>
      </w:r>
      <w:r w:rsidR="00D36719">
        <w:rPr>
          <w:rStyle w:val="StyleLatinTimesRoman12pt"/>
        </w:rPr>
        <w:t xml:space="preserve"> </w:t>
      </w:r>
      <w:r w:rsidR="001446FC">
        <w:t>§§6304-6305</w:t>
      </w:r>
      <w:r w:rsidR="00E53258">
        <w:t>.</w:t>
      </w:r>
      <w:r w:rsidR="001446FC">
        <w:t xml:space="preserve"> </w:t>
      </w:r>
    </w:p>
    <w:p w14:paraId="60D7DC2A" w14:textId="21DF6BBA" w:rsidR="006F3495" w:rsidRDefault="006F3495" w:rsidP="009D0E3A">
      <w:pPr>
        <w:pStyle w:val="NPRlist10"/>
        <w:numPr>
          <w:ilvl w:val="0"/>
          <w:numId w:val="10"/>
        </w:numPr>
      </w:pPr>
      <w:r>
        <w:t xml:space="preserve">Office of Management and Budget (OMB) Uniform Administrative Requirements, Cost Principles, and Audit Requirements for Federal Awards, 2 CFR §200. </w:t>
      </w:r>
      <w:r w:rsidR="00D13575">
        <w:t xml:space="preserve"> </w:t>
      </w:r>
      <w:r>
        <w:t>(OMB Uniform Guidance</w:t>
      </w:r>
      <w:r w:rsidR="00D13575">
        <w:t>.</w:t>
      </w:r>
      <w:r w:rsidR="00EA5317">
        <w:t>)</w:t>
      </w:r>
    </w:p>
    <w:p w14:paraId="54261D4F" w14:textId="77777777" w:rsidR="006F3495" w:rsidRDefault="006F3495" w:rsidP="006F3495">
      <w:pPr>
        <w:pStyle w:val="NPRlist10"/>
      </w:pPr>
      <w:r>
        <w:t xml:space="preserve">NASA Uniform Administrative Requirements, Cost Principles, and Audit Requirements for Federal Awards, 2 CFR §1800. </w:t>
      </w:r>
    </w:p>
    <w:p w14:paraId="23C6B136" w14:textId="775A0E5A" w:rsidR="001446FC" w:rsidRDefault="001446FC" w:rsidP="006F3495">
      <w:pPr>
        <w:pStyle w:val="NPRlist10"/>
      </w:pPr>
      <w:r w:rsidRPr="00657275">
        <w:t xml:space="preserve">14 </w:t>
      </w:r>
      <w:r>
        <w:t>CFR</w:t>
      </w:r>
      <w:r w:rsidRPr="00657275">
        <w:t xml:space="preserve"> </w:t>
      </w:r>
      <w:r>
        <w:t>§</w:t>
      </w:r>
      <w:r w:rsidRPr="00657275">
        <w:t>1274.204</w:t>
      </w:r>
      <w:r w:rsidR="00E53258">
        <w:t>.</w:t>
      </w:r>
    </w:p>
    <w:p w14:paraId="553F48AC" w14:textId="77777777" w:rsidR="006F3495" w:rsidRDefault="006F3495" w:rsidP="006F3495">
      <w:pPr>
        <w:pStyle w:val="NPRlist10"/>
      </w:pPr>
      <w:r w:rsidRPr="005357CE">
        <w:t xml:space="preserve">Rules </w:t>
      </w:r>
      <w:r>
        <w:t>a</w:t>
      </w:r>
      <w:r w:rsidRPr="005357CE">
        <w:t xml:space="preserve">nd Procedures </w:t>
      </w:r>
      <w:r>
        <w:t>f</w:t>
      </w:r>
      <w:r w:rsidRPr="005357CE">
        <w:t>or Efficient Federal-State Funds Transfers</w:t>
      </w:r>
      <w:r>
        <w:t xml:space="preserve">, 31 CFR </w:t>
      </w:r>
      <w:r w:rsidRPr="005357CE">
        <w:t>Part 205</w:t>
      </w:r>
      <w:r>
        <w:t>.</w:t>
      </w:r>
    </w:p>
    <w:p w14:paraId="729FA263" w14:textId="1CC70F9B" w:rsidR="000D09C2" w:rsidRDefault="005314E5" w:rsidP="006F3495">
      <w:pPr>
        <w:pStyle w:val="NPRlist10"/>
      </w:pPr>
      <w:r>
        <w:t xml:space="preserve">48 CFR </w:t>
      </w:r>
      <w:r w:rsidR="000D09C2">
        <w:t>Su</w:t>
      </w:r>
      <w:r w:rsidR="000D09C2" w:rsidRPr="00657275">
        <w:t>bpart 32.4</w:t>
      </w:r>
      <w:r w:rsidR="000D09C2">
        <w:t>, Advance Payments for Non-Commercial Items</w:t>
      </w:r>
      <w:r w:rsidR="00E53258">
        <w:t>.</w:t>
      </w:r>
    </w:p>
    <w:p w14:paraId="77D3DAAE" w14:textId="77777777" w:rsidR="006F3495" w:rsidRDefault="006F3495" w:rsidP="006F3495">
      <w:pPr>
        <w:pStyle w:val="NPRlist10"/>
      </w:pPr>
      <w:r>
        <w:t xml:space="preserve">Treasury Financial Manual (TFM), Volume I, Part 4A, Chapter 2000 (I TFM 4A-2000), Overall Disbursing Rules for All Federal Agencies. </w:t>
      </w:r>
    </w:p>
    <w:p w14:paraId="15792A24" w14:textId="3EC4F452" w:rsidR="006F3495" w:rsidRDefault="005314E5" w:rsidP="006F3495">
      <w:pPr>
        <w:pStyle w:val="NPRlist10"/>
      </w:pPr>
      <w:r>
        <w:t xml:space="preserve">48 CFR </w:t>
      </w:r>
      <w:r w:rsidR="000D09C2" w:rsidRPr="00657275">
        <w:t>Subpart 1832.4</w:t>
      </w:r>
      <w:r w:rsidR="002622FC">
        <w:t>, Advance Payments for Non-Commercial Items</w:t>
      </w:r>
      <w:r>
        <w:t xml:space="preserve">.  </w:t>
      </w:r>
      <w:r w:rsidR="006F3495">
        <w:t xml:space="preserve">NPR 9010.3, Financial Management Internal Control. </w:t>
      </w:r>
    </w:p>
    <w:p w14:paraId="70AD8B0F" w14:textId="281254F4" w:rsidR="00881AD9" w:rsidRDefault="00881AD9" w:rsidP="00881AD9">
      <w:pPr>
        <w:pStyle w:val="NPRlist10"/>
      </w:pPr>
      <w:r>
        <w:t xml:space="preserve">NASA </w:t>
      </w:r>
      <w:r w:rsidRPr="00DB22EC">
        <w:t xml:space="preserve">Records Retention Schedules </w:t>
      </w:r>
      <w:r>
        <w:t>(NRRS) 1441.1</w:t>
      </w:r>
      <w:r w:rsidR="00E53258">
        <w:t>.</w:t>
      </w:r>
    </w:p>
    <w:p w14:paraId="64527454" w14:textId="77777777" w:rsidR="006F3495" w:rsidRDefault="006F3495" w:rsidP="006F3495">
      <w:pPr>
        <w:pStyle w:val="NPRlist10"/>
      </w:pPr>
      <w:r>
        <w:t xml:space="preserve">NASA Grant and Cooperative Agreement Manual (GCAM). </w:t>
      </w:r>
    </w:p>
    <w:p w14:paraId="4A459EC5" w14:textId="77777777" w:rsidR="006F3495" w:rsidRPr="006233EF" w:rsidRDefault="006F3495" w:rsidP="006233EF">
      <w:pPr>
        <w:pStyle w:val="Preface2"/>
      </w:pPr>
      <w:bookmarkStart w:id="14" w:name="_Toc398881809"/>
      <w:bookmarkStart w:id="15" w:name="_Toc421521252"/>
      <w:bookmarkStart w:id="16" w:name="_Toc424296217"/>
      <w:r w:rsidRPr="006233EF">
        <w:t>Measurement/Verification</w:t>
      </w:r>
      <w:bookmarkEnd w:id="14"/>
      <w:bookmarkEnd w:id="15"/>
      <w:bookmarkEnd w:id="16"/>
    </w:p>
    <w:p w14:paraId="6BE8C6C0" w14:textId="77777777" w:rsidR="006F3495" w:rsidRPr="00B7288A" w:rsidRDefault="006F3495" w:rsidP="006F3495">
      <w:r w:rsidRPr="00B7288A">
        <w:t xml:space="preserve">Quality assurance reviews and analysis of financial reports and data submitted through the continuous monitoring program will be used to measure compliance with this NPR. </w:t>
      </w:r>
      <w:r>
        <w:t xml:space="preserve"> </w:t>
      </w:r>
      <w:r w:rsidRPr="00B7288A">
        <w:t xml:space="preserve">Funds control will be in place as required by NPR 9010.3. </w:t>
      </w:r>
    </w:p>
    <w:p w14:paraId="5C1DB620" w14:textId="77777777" w:rsidR="006F3495" w:rsidRPr="00B7288A" w:rsidRDefault="006F3495" w:rsidP="006233EF">
      <w:pPr>
        <w:pStyle w:val="Preface2"/>
      </w:pPr>
      <w:bookmarkStart w:id="17" w:name="_Toc398881810"/>
      <w:bookmarkStart w:id="18" w:name="_Toc421521253"/>
      <w:bookmarkStart w:id="19" w:name="_Toc424296218"/>
      <w:r w:rsidRPr="00B7288A">
        <w:t>Cancellation</w:t>
      </w:r>
      <w:bookmarkEnd w:id="17"/>
      <w:bookmarkEnd w:id="18"/>
      <w:bookmarkEnd w:id="19"/>
    </w:p>
    <w:p w14:paraId="1E467469" w14:textId="77777777" w:rsidR="00D13575" w:rsidRDefault="006F3495" w:rsidP="00D13575">
      <w:pPr>
        <w:spacing w:after="0"/>
      </w:pPr>
      <w:r>
        <w:t xml:space="preserve">NPR 9680.1A, NASA’s Managements of Grants and Cooperative Agreements, dated </w:t>
      </w:r>
    </w:p>
    <w:p w14:paraId="7AE0C58F" w14:textId="0FEC9B1E" w:rsidR="006F3495" w:rsidRDefault="006F3495" w:rsidP="006F3495">
      <w:r>
        <w:t xml:space="preserve">November 10, 2011. </w:t>
      </w:r>
    </w:p>
    <w:p w14:paraId="1C07FA49" w14:textId="77777777" w:rsidR="006F3495" w:rsidRDefault="006F3495" w:rsidP="006F3495"/>
    <w:p w14:paraId="79197565" w14:textId="77777777" w:rsidR="006F3495" w:rsidRDefault="006F3495" w:rsidP="006F3495">
      <w:pPr>
        <w:rPr>
          <w:b/>
          <w:bCs/>
        </w:rPr>
      </w:pPr>
      <w:r>
        <w:rPr>
          <w:b/>
          <w:bCs/>
        </w:rPr>
        <w:br w:type="page"/>
      </w:r>
    </w:p>
    <w:p w14:paraId="60B98A57" w14:textId="77777777" w:rsidR="006F3495" w:rsidRDefault="006F3495" w:rsidP="006F3495">
      <w:pPr>
        <w:pStyle w:val="NPR1"/>
      </w:pPr>
      <w:bookmarkStart w:id="20" w:name="_Toc421521254"/>
      <w:bookmarkStart w:id="21" w:name="_Toc424296219"/>
      <w:r>
        <w:lastRenderedPageBreak/>
        <w:t>Financial Management of Advance Payments</w:t>
      </w:r>
      <w:bookmarkEnd w:id="20"/>
      <w:bookmarkEnd w:id="21"/>
      <w:r>
        <w:t xml:space="preserve"> </w:t>
      </w:r>
    </w:p>
    <w:p w14:paraId="48FD261D" w14:textId="77777777" w:rsidR="006F3495" w:rsidRPr="006F3495" w:rsidRDefault="006F3495" w:rsidP="006F3495">
      <w:pPr>
        <w:pStyle w:val="NPR2"/>
      </w:pPr>
      <w:bookmarkStart w:id="22" w:name="_Toc398881812"/>
      <w:bookmarkStart w:id="23" w:name="_Toc421521255"/>
      <w:bookmarkStart w:id="24" w:name="_Toc424296220"/>
      <w:r w:rsidRPr="006F3495">
        <w:t>Overview</w:t>
      </w:r>
      <w:bookmarkEnd w:id="22"/>
      <w:bookmarkEnd w:id="23"/>
      <w:bookmarkEnd w:id="24"/>
    </w:p>
    <w:p w14:paraId="32ABFFB3" w14:textId="657492FA" w:rsidR="006F3495" w:rsidRDefault="006F3495" w:rsidP="006F3495">
      <w:r>
        <w:t>This chapter provides requirements for NASA’s financial management of grants and cooperative agreements with regard to advance payments.  As directed in OMB</w:t>
      </w:r>
      <w:r w:rsidR="00E13408">
        <w:t>’s</w:t>
      </w:r>
      <w:r>
        <w:t xml:space="preserve"> uniform guidance, the default payment method will be an advance payment for recipients except where they have demonstrated an inability or unwillingness to maintain written procedures or</w:t>
      </w:r>
      <w:r w:rsidR="00D13575">
        <w:t xml:space="preserve"> a financial management system</w:t>
      </w:r>
      <w:r w:rsidR="000F3888">
        <w:t>;</w:t>
      </w:r>
      <w:r>
        <w:t xml:space="preserve"> or ha</w:t>
      </w:r>
      <w:r w:rsidR="00D13575">
        <w:t>ve shown to pose a risk during A</w:t>
      </w:r>
      <w:r>
        <w:t>gency review</w:t>
      </w:r>
      <w:r w:rsidR="00D13575">
        <w:t>,</w:t>
      </w:r>
      <w:r>
        <w:t xml:space="preserve"> and reimbursement rather than advance payment is imposed as a specific condition to the award. </w:t>
      </w:r>
    </w:p>
    <w:p w14:paraId="0B7D55B7" w14:textId="77777777" w:rsidR="006F3495" w:rsidRPr="006F3495" w:rsidRDefault="006F3495" w:rsidP="006F3495">
      <w:pPr>
        <w:pStyle w:val="NPR2"/>
      </w:pPr>
      <w:bookmarkStart w:id="25" w:name="_Toc398881813"/>
      <w:bookmarkStart w:id="26" w:name="_Toc421521256"/>
      <w:bookmarkStart w:id="27" w:name="_Toc424296221"/>
      <w:r w:rsidRPr="006F3495">
        <w:t>Advance Payment Requirements</w:t>
      </w:r>
      <w:bookmarkEnd w:id="25"/>
      <w:bookmarkEnd w:id="26"/>
      <w:bookmarkEnd w:id="27"/>
    </w:p>
    <w:p w14:paraId="624DFF3B" w14:textId="3328970E" w:rsidR="006F3495" w:rsidRDefault="006F3495" w:rsidP="006F3495">
      <w:pPr>
        <w:pStyle w:val="NPR3"/>
      </w:pPr>
      <w:r>
        <w:t>In accordance with 2 CFR §200.305 Payment, NASA use</w:t>
      </w:r>
      <w:r w:rsidR="00565434">
        <w:t>s</w:t>
      </w:r>
      <w:r>
        <w:t xml:space="preserve"> an advance payment method of financing to aid in minimizing the time elapsing between the transfer of funds from Treasury and the disbu</w:t>
      </w:r>
      <w:r w:rsidR="00D13575">
        <w:t>rsement by the non-F</w:t>
      </w:r>
      <w:r w:rsidRPr="00E62BD9">
        <w:t>ederal entity</w:t>
      </w:r>
      <w:r w:rsidR="00D13575">
        <w:t>,</w:t>
      </w:r>
      <w:r w:rsidRPr="00E62BD9">
        <w:t xml:space="preserve"> whether the payment is ma</w:t>
      </w:r>
      <w:r w:rsidR="00D13575">
        <w:t>de by electronic funds transfer</w:t>
      </w:r>
      <w:r w:rsidRPr="00E62BD9">
        <w:t xml:space="preserve"> or issuance</w:t>
      </w:r>
      <w:r>
        <w:t xml:space="preserve"> or redemption of checks, warrants, or payment by other means.  The advance payment allows the recipient to withdraw cash concurrently with disbursements.  </w:t>
      </w:r>
      <w:r w:rsidRPr="00771BFB">
        <w:t>Advance payment mechanisms include, but are not limited to, Treasury check and electronic funds transfer and should comply with applicable guidance in 31</w:t>
      </w:r>
      <w:r>
        <w:t xml:space="preserve"> CFR</w:t>
      </w:r>
      <w:r w:rsidRPr="00771BFB">
        <w:t xml:space="preserve"> </w:t>
      </w:r>
      <w:r>
        <w:t>P</w:t>
      </w:r>
      <w:r w:rsidRPr="00771BFB">
        <w:t>art 208.</w:t>
      </w:r>
    </w:p>
    <w:p w14:paraId="65456BA6" w14:textId="224C2F18" w:rsidR="006F3495" w:rsidRDefault="006F3495" w:rsidP="009D0E3A">
      <w:pPr>
        <w:pStyle w:val="NPRlist10"/>
        <w:numPr>
          <w:ilvl w:val="0"/>
          <w:numId w:val="11"/>
        </w:numPr>
      </w:pPr>
      <w:r>
        <w:t>NASA use</w:t>
      </w:r>
      <w:r w:rsidR="00565434">
        <w:t>s</w:t>
      </w:r>
      <w:r>
        <w:t xml:space="preserve"> the advance payment method unless the </w:t>
      </w:r>
      <w:r w:rsidRPr="000504EC">
        <w:t>awarding organization</w:t>
      </w:r>
      <w:r>
        <w:t xml:space="preserve"> has determined that the recipient has not met the minimum criteria for advance payment.  The recipient </w:t>
      </w:r>
      <w:r w:rsidR="00E13408">
        <w:t xml:space="preserve">will </w:t>
      </w:r>
      <w:r>
        <w:t xml:space="preserve">demonstrate a willingness to maintain: </w:t>
      </w:r>
    </w:p>
    <w:p w14:paraId="333FAAC1" w14:textId="277A3A85" w:rsidR="006F3495" w:rsidRDefault="006F3495" w:rsidP="006F3495">
      <w:pPr>
        <w:pStyle w:val="NPRlist2"/>
      </w:pPr>
      <w:r>
        <w:t xml:space="preserve">Written procedures that will minimize the time elapsing between the drawdown of funds and their disbursement. </w:t>
      </w:r>
    </w:p>
    <w:p w14:paraId="2C8673B9" w14:textId="77777777" w:rsidR="006F3495" w:rsidRDefault="006F3495" w:rsidP="006F3495">
      <w:pPr>
        <w:pStyle w:val="NPRlist2"/>
      </w:pPr>
      <w:r>
        <w:t>Financial management systems that meet the standards as established in 2 CFR §200.302 Financial Management.</w:t>
      </w:r>
    </w:p>
    <w:p w14:paraId="3D12503B" w14:textId="3737C6A8" w:rsidR="006F3495" w:rsidRDefault="006F3495" w:rsidP="006F3495">
      <w:pPr>
        <w:pStyle w:val="NPRlist2"/>
      </w:pPr>
      <w:r>
        <w:t>When applicable, specific conditions as set by the awarding organization.</w:t>
      </w:r>
      <w:r w:rsidR="00D13575">
        <w:t xml:space="preserve"> </w:t>
      </w:r>
      <w:r>
        <w:t xml:space="preserve"> (See 2 CFR §200.207). </w:t>
      </w:r>
    </w:p>
    <w:p w14:paraId="029CC0FA" w14:textId="0C19D061" w:rsidR="006F3495" w:rsidRDefault="006F3495" w:rsidP="006F3495">
      <w:pPr>
        <w:pStyle w:val="NPR3"/>
      </w:pPr>
      <w:r>
        <w:t xml:space="preserve">If the recipient is unable to meet these criteria and has been determined to not have enough working capital when the reimbursement method is designated, NASA may provide cash as a working capital advance with subsequent reimbursement payments.  </w:t>
      </w:r>
      <w:r w:rsidRPr="00866067">
        <w:t xml:space="preserve">Under this </w:t>
      </w:r>
      <w:r>
        <w:t>modified advance payment method</w:t>
      </w:r>
      <w:r w:rsidRPr="00866067">
        <w:t xml:space="preserve">, </w:t>
      </w:r>
      <w:r>
        <w:t>NASA would</w:t>
      </w:r>
      <w:r w:rsidRPr="00866067">
        <w:t xml:space="preserve"> advance</w:t>
      </w:r>
      <w:r>
        <w:t xml:space="preserve"> a cash payment to the recipient </w:t>
      </w:r>
      <w:r w:rsidRPr="00866067">
        <w:t>to cover estimated disbursement needs for an initial period</w:t>
      </w:r>
      <w:r>
        <w:t>, which is</w:t>
      </w:r>
      <w:r w:rsidRPr="00866067">
        <w:t xml:space="preserve"> generally </w:t>
      </w:r>
      <w:r>
        <w:t>based on</w:t>
      </w:r>
      <w:r w:rsidRPr="00866067">
        <w:t xml:space="preserve"> the </w:t>
      </w:r>
      <w:r>
        <w:t>recipient</w:t>
      </w:r>
      <w:r w:rsidR="00D13575">
        <w:t>’</w:t>
      </w:r>
      <w:r>
        <w:t>s</w:t>
      </w:r>
      <w:r w:rsidRPr="00866067">
        <w:t xml:space="preserve"> disbursing cycle.</w:t>
      </w:r>
      <w:r>
        <w:t xml:space="preserve">  Refer to 2 CFR §200.305 (b)(4) for additional information on the use of this method.</w:t>
      </w:r>
    </w:p>
    <w:p w14:paraId="52A3EC9E" w14:textId="77777777" w:rsidR="006F3495" w:rsidRPr="00FB27BF" w:rsidRDefault="006F3495" w:rsidP="006F3495">
      <w:pPr>
        <w:pStyle w:val="NPR2"/>
      </w:pPr>
      <w:bookmarkStart w:id="28" w:name="_Toc421521257"/>
      <w:bookmarkStart w:id="29" w:name="_Toc424296222"/>
      <w:r w:rsidRPr="00FB27BF">
        <w:t>Advance Payment</w:t>
      </w:r>
      <w:r>
        <w:t xml:space="preserve"> Administration</w:t>
      </w:r>
      <w:bookmarkEnd w:id="28"/>
      <w:bookmarkEnd w:id="29"/>
    </w:p>
    <w:p w14:paraId="75B95346" w14:textId="03C3334E" w:rsidR="006F3495" w:rsidRDefault="006F3495" w:rsidP="00DA6B50">
      <w:pPr>
        <w:pStyle w:val="NPR3"/>
      </w:pPr>
      <w:r>
        <w:t>NASA use</w:t>
      </w:r>
      <w:r w:rsidR="00565434">
        <w:t>s</w:t>
      </w:r>
      <w:r>
        <w:t xml:space="preserve"> a servicing provider, currently the Department of Health and Human Services/Payment Management Services (DHHS/PMS), to provide Federal funds to recipients, to include educational institutions, other public or private organizations, and state and local governments.  DHHS/PMS will provide instructions to the recipients for requesting funds through the payment management system (PMS).</w:t>
      </w:r>
    </w:p>
    <w:p w14:paraId="61BC8828" w14:textId="40CBB77E" w:rsidR="006F3495" w:rsidRDefault="006F3495" w:rsidP="00DA6B50">
      <w:pPr>
        <w:pStyle w:val="NPR3"/>
      </w:pPr>
      <w:r>
        <w:lastRenderedPageBreak/>
        <w:t>NASA pay</w:t>
      </w:r>
      <w:r w:rsidR="00565434">
        <w:t>s</w:t>
      </w:r>
      <w:r>
        <w:t xml:space="preserve"> states in </w:t>
      </w:r>
      <w:r w:rsidR="00D13575">
        <w:t>accordance with 31 CFR Part 205</w:t>
      </w:r>
      <w:r>
        <w:t xml:space="preserve"> and I TFM 4A-2000.</w:t>
      </w:r>
    </w:p>
    <w:p w14:paraId="18C05DBF" w14:textId="14BB0497" w:rsidR="006F3495" w:rsidRDefault="006F3495" w:rsidP="00DA6B50">
      <w:pPr>
        <w:pStyle w:val="NPR3"/>
      </w:pPr>
      <w:r>
        <w:t xml:space="preserve">Recipients </w:t>
      </w:r>
      <w:r w:rsidR="006C279E">
        <w:t xml:space="preserve">will </w:t>
      </w:r>
      <w:r>
        <w:t xml:space="preserve">submit requests for funds electronically through the PMS that (a) are the minimum amount of funds needed; and (b) are scheduled so that cash drawdowns coincide with actual, immediate cash requirements. </w:t>
      </w:r>
    </w:p>
    <w:p w14:paraId="26D91B7D" w14:textId="65ABDCEF" w:rsidR="006F3495" w:rsidRDefault="006F3495" w:rsidP="00DA6B50">
      <w:pPr>
        <w:pStyle w:val="NPR3"/>
      </w:pPr>
      <w:r>
        <w:t xml:space="preserve">Recipients </w:t>
      </w:r>
      <w:r w:rsidR="006C279E">
        <w:t xml:space="preserve">will </w:t>
      </w:r>
      <w:r>
        <w:t xml:space="preserve">promptly refund any balances of undisbursed cash that NASA has provided to them that are not authorized to be retained by the recipient for use in other projects.  The only exceptions to the requirement for promptly refunding undisbursed cash balances are when: </w:t>
      </w:r>
    </w:p>
    <w:p w14:paraId="72005F9A" w14:textId="77777777" w:rsidR="006F3495" w:rsidRDefault="006F3495" w:rsidP="009D0E3A">
      <w:pPr>
        <w:pStyle w:val="NPRlist10"/>
        <w:numPr>
          <w:ilvl w:val="0"/>
          <w:numId w:val="12"/>
        </w:numPr>
      </w:pPr>
      <w:r>
        <w:t>The funds will be disbursed by the recipient within seven calendar days.</w:t>
      </w:r>
    </w:p>
    <w:p w14:paraId="136084F1" w14:textId="77777777" w:rsidR="006F3495" w:rsidRDefault="006F3495" w:rsidP="00DA6B50">
      <w:pPr>
        <w:pStyle w:val="NPRlist10"/>
      </w:pPr>
      <w:r>
        <w:t xml:space="preserve">The funds are less than $10,000 and will be disbursed within 30 calendar days. </w:t>
      </w:r>
    </w:p>
    <w:p w14:paraId="78D8DDE6" w14:textId="7293EEDB" w:rsidR="006F3495" w:rsidRDefault="006F3495" w:rsidP="00DA6B50">
      <w:pPr>
        <w:pStyle w:val="NPR3"/>
      </w:pPr>
      <w:r>
        <w:t xml:space="preserve">If the request for funds was made erroneously, the recipient shall contact its financial institution and request that the payment be returned.  The recipient is responsible for promptly remitting funds to DHHS/PMS and noting the reason, e.g., excess funds, funds not spent, or interest.  Instructions for returning funds are on the DHHS/PMS Web site under funding requests, </w:t>
      </w:r>
      <w:r w:rsidRPr="003B4002">
        <w:t>http://www.dpm.psc.gov/grant_recipient/funding_requests/returning_funds.aspx?explorer.event=true</w:t>
      </w:r>
      <w:r>
        <w:t xml:space="preserve">.  DHHS/PMS reports any interest collected on excess Federal funds to the designated grant officer at the NASA Shared Services Center </w:t>
      </w:r>
      <w:r w:rsidR="00596531">
        <w:t xml:space="preserve">(NSSC) </w:t>
      </w:r>
      <w:r>
        <w:t>Finance Office or Goddard Space Flight Center Finance Office (GSFC CFO)</w:t>
      </w:r>
      <w:r w:rsidDel="00297C11">
        <w:t xml:space="preserve"> </w:t>
      </w:r>
      <w:r>
        <w:t>and to the Treasury.</w:t>
      </w:r>
    </w:p>
    <w:p w14:paraId="32C5C448" w14:textId="77777777" w:rsidR="006F3495" w:rsidRDefault="006F3495" w:rsidP="00DA6B50">
      <w:pPr>
        <w:pStyle w:val="NPR3"/>
      </w:pPr>
      <w:r>
        <w:t xml:space="preserve">Records created in the process of financial management of Federal awards will be maintained and disposed of in accordance with NASA </w:t>
      </w:r>
      <w:r w:rsidRPr="00DB22EC">
        <w:t xml:space="preserve">Records Retention Schedules </w:t>
      </w:r>
      <w:r>
        <w:t xml:space="preserve">(NRRS) 1441.1, as provided in National Archives and Administration Records (NARA) general record schedules requirements, </w:t>
      </w:r>
      <w:r w:rsidRPr="00EE7767">
        <w:t>http://www.archives.gov/records-mgmt/grs.html</w:t>
      </w:r>
      <w:r>
        <w:t>.</w:t>
      </w:r>
    </w:p>
    <w:p w14:paraId="6807BE38" w14:textId="77777777" w:rsidR="006F3495" w:rsidRDefault="006F3495" w:rsidP="00DA6B50">
      <w:pPr>
        <w:pStyle w:val="NPR2"/>
      </w:pPr>
      <w:bookmarkStart w:id="30" w:name="_Toc421521258"/>
      <w:bookmarkStart w:id="31" w:name="_Toc424296223"/>
      <w:r>
        <w:t>Advance Payment Account Closure.</w:t>
      </w:r>
      <w:bookmarkEnd w:id="30"/>
      <w:bookmarkEnd w:id="31"/>
    </w:p>
    <w:p w14:paraId="0C194FCD" w14:textId="77777777" w:rsidR="006F3495" w:rsidRDefault="006F3495" w:rsidP="00DA6B50">
      <w:pPr>
        <w:pStyle w:val="NPR3"/>
      </w:pPr>
      <w:r>
        <w:t xml:space="preserve">Upon completion of the grant or cooperative agreement, the NSSC/GSFC CFO will reconcile the final Federal Financial Report (FFR) to DHHS/PMS and, when appropriate, initiate subaccount closure in DHHS/PMS.  </w:t>
      </w:r>
      <w:r w:rsidRPr="001A532A">
        <w:t>The reconciliation is forwarded to the NSSC/Center Closeout Department to complete the close</w:t>
      </w:r>
      <w:r>
        <w:t>-</w:t>
      </w:r>
      <w:r w:rsidRPr="001A532A">
        <w:t>out process.</w:t>
      </w:r>
      <w:r>
        <w:t xml:space="preserve">  For grant or cooperative agreement closeout, refer to the NASA GCAM. </w:t>
      </w:r>
    </w:p>
    <w:p w14:paraId="42171CB3" w14:textId="77777777" w:rsidR="006F3495" w:rsidRDefault="006F3495" w:rsidP="00DA6B50">
      <w:pPr>
        <w:pStyle w:val="NPR3"/>
      </w:pPr>
      <w:r>
        <w:t>If during closeout, a determination is made that the r</w:t>
      </w:r>
      <w:r w:rsidRPr="00895CCD">
        <w:t xml:space="preserve">ecipient </w:t>
      </w:r>
      <w:r>
        <w:t xml:space="preserve">has </w:t>
      </w:r>
      <w:r w:rsidRPr="00895CCD">
        <w:t xml:space="preserve">undisbursed cash that </w:t>
      </w:r>
      <w:r>
        <w:t xml:space="preserve">is </w:t>
      </w:r>
      <w:r w:rsidRPr="00895CCD">
        <w:t>not authorized for use in other projects</w:t>
      </w:r>
      <w:r>
        <w:t>, the recipient is</w:t>
      </w:r>
      <w:r w:rsidRPr="00895CCD">
        <w:t xml:space="preserve"> required to promptly refund </w:t>
      </w:r>
      <w:r>
        <w:t>those</w:t>
      </w:r>
      <w:r w:rsidRPr="00895CCD">
        <w:t xml:space="preserve"> balances. </w:t>
      </w:r>
      <w:r>
        <w:t xml:space="preserve"> In accordance with 2 CFR §</w:t>
      </w:r>
      <w:r w:rsidRPr="00895CCD">
        <w:t>200.345</w:t>
      </w:r>
      <w:r>
        <w:t>,</w:t>
      </w:r>
      <w:r w:rsidRPr="00895CCD">
        <w:t xml:space="preserve"> </w:t>
      </w:r>
      <w:r>
        <w:t xml:space="preserve">NASA will take measures to collect the </w:t>
      </w:r>
      <w:r w:rsidRPr="00895CCD">
        <w:t>undisbursed cash</w:t>
      </w:r>
      <w:r>
        <w:t xml:space="preserve"> when a refund has not been processed within the identified timeframe</w:t>
      </w:r>
      <w:r w:rsidRPr="00895CCD">
        <w:t>.</w:t>
      </w:r>
    </w:p>
    <w:p w14:paraId="0BB4E5D5" w14:textId="77777777" w:rsidR="006F3495" w:rsidRDefault="006F3495" w:rsidP="00DA6B50">
      <w:pPr>
        <w:pStyle w:val="NPR2"/>
      </w:pPr>
      <w:bookmarkStart w:id="32" w:name="_Toc398881818"/>
      <w:bookmarkStart w:id="33" w:name="_Toc421521259"/>
      <w:bookmarkStart w:id="34" w:name="_Toc424296224"/>
      <w:r>
        <w:t>Roles and Responsibilities</w:t>
      </w:r>
      <w:bookmarkEnd w:id="32"/>
      <w:bookmarkEnd w:id="33"/>
      <w:bookmarkEnd w:id="34"/>
    </w:p>
    <w:p w14:paraId="35E1D7F3" w14:textId="77777777" w:rsidR="006F3495" w:rsidRDefault="006F3495" w:rsidP="00DA6B50">
      <w:pPr>
        <w:pStyle w:val="NPR3"/>
      </w:pPr>
      <w:r>
        <w:t>The Agency CFO/Deputy CFO (Finance) shall:</w:t>
      </w:r>
    </w:p>
    <w:p w14:paraId="34264844" w14:textId="7BA02983" w:rsidR="006F3495" w:rsidRDefault="006F3495" w:rsidP="009D0E3A">
      <w:pPr>
        <w:pStyle w:val="NPRlist10"/>
        <w:numPr>
          <w:ilvl w:val="0"/>
          <w:numId w:val="13"/>
        </w:numPr>
      </w:pPr>
      <w:r>
        <w:t>Review, update,</w:t>
      </w:r>
      <w:r w:rsidR="00D13575">
        <w:t xml:space="preserve"> and approve the annual service-</w:t>
      </w:r>
      <w:r>
        <w:t xml:space="preserve">level agreement between NASA and the grant payment service provider. </w:t>
      </w:r>
    </w:p>
    <w:p w14:paraId="3BAF1B04" w14:textId="77777777" w:rsidR="006F3495" w:rsidRDefault="006F3495" w:rsidP="00DA6B50">
      <w:pPr>
        <w:pStyle w:val="NPRlist10"/>
      </w:pPr>
      <w:r>
        <w:lastRenderedPageBreak/>
        <w:t>Maintain policy on NASA’s grants and cooperative agreements advance payment requirements.</w:t>
      </w:r>
    </w:p>
    <w:p w14:paraId="47AC38C7" w14:textId="77777777" w:rsidR="006F3495" w:rsidRDefault="006F3495" w:rsidP="00DA6B50">
      <w:pPr>
        <w:pStyle w:val="NPRlist10"/>
      </w:pPr>
      <w:r>
        <w:t>Ensure the Continuous Monitoring Program (CMP) control activities are maintained and completed and the results are evaluated.</w:t>
      </w:r>
    </w:p>
    <w:p w14:paraId="350AF958" w14:textId="77777777" w:rsidR="006F3495" w:rsidRDefault="006F3495" w:rsidP="00DA6B50">
      <w:pPr>
        <w:pStyle w:val="NPR3"/>
      </w:pPr>
      <w:r>
        <w:t xml:space="preserve">The Grant Officer shall: </w:t>
      </w:r>
    </w:p>
    <w:p w14:paraId="010C70A7" w14:textId="77777777" w:rsidR="006F3495" w:rsidRDefault="006F3495" w:rsidP="009D0E3A">
      <w:pPr>
        <w:pStyle w:val="NPRlist10"/>
        <w:numPr>
          <w:ilvl w:val="0"/>
          <w:numId w:val="14"/>
        </w:numPr>
      </w:pPr>
      <w:r>
        <w:t>Comply with NASA financial management and grants and cooperative agreement policies, as well as the TFM and OMB regulations and guidance.</w:t>
      </w:r>
    </w:p>
    <w:p w14:paraId="554A5550" w14:textId="77777777" w:rsidR="006F3495" w:rsidRDefault="006F3495" w:rsidP="00DA6B50">
      <w:pPr>
        <w:pStyle w:val="NPRlist10"/>
      </w:pPr>
      <w:r>
        <w:t xml:space="preserve"> </w:t>
      </w:r>
      <w:r w:rsidRPr="007F221A">
        <w:t>Administer the award in accordance</w:t>
      </w:r>
      <w:r>
        <w:t xml:space="preserve"> with 2 CFR Part 200, this NPR, and the terms set forth in the grant or cooperative agreement.</w:t>
      </w:r>
    </w:p>
    <w:p w14:paraId="1FB7C312" w14:textId="77777777" w:rsidR="006F3495" w:rsidRDefault="006F3495" w:rsidP="00DA6B50">
      <w:pPr>
        <w:pStyle w:val="NPR3"/>
      </w:pPr>
      <w:r>
        <w:t>The NSSC</w:t>
      </w:r>
      <w:r>
        <w:rPr>
          <w:color w:val="000000" w:themeColor="text1"/>
        </w:rPr>
        <w:t xml:space="preserve">/GSFC CFO </w:t>
      </w:r>
      <w:r>
        <w:t xml:space="preserve">shall: </w:t>
      </w:r>
    </w:p>
    <w:p w14:paraId="67C342C8" w14:textId="77777777" w:rsidR="006F3495" w:rsidRDefault="006F3495" w:rsidP="009D0E3A">
      <w:pPr>
        <w:pStyle w:val="NPRlist10"/>
        <w:numPr>
          <w:ilvl w:val="0"/>
          <w:numId w:val="15"/>
        </w:numPr>
      </w:pPr>
      <w:r>
        <w:t xml:space="preserve">Comply with NASA financial management and grants and cooperative agreement policies, as well as the TFM and OMB regulations and guidance. </w:t>
      </w:r>
    </w:p>
    <w:p w14:paraId="48E5EA2B" w14:textId="4A6587FE" w:rsidR="006F3495" w:rsidRDefault="006F3495" w:rsidP="00DA6B50">
      <w:pPr>
        <w:pStyle w:val="NPRlist10"/>
      </w:pPr>
      <w:r>
        <w:t xml:space="preserve">Serve as liaison between </w:t>
      </w:r>
      <w:r w:rsidR="00D13575">
        <w:t xml:space="preserve">the </w:t>
      </w:r>
      <w:r>
        <w:t>recipient, DHHS/PMS personnel, and grant offices, as required by:</w:t>
      </w:r>
    </w:p>
    <w:p w14:paraId="37554299" w14:textId="341EE96D" w:rsidR="006F3495" w:rsidRDefault="006F3495" w:rsidP="00DA6B50">
      <w:pPr>
        <w:pStyle w:val="NPRlist2"/>
      </w:pPr>
      <w:r>
        <w:t xml:space="preserve">Receiving </w:t>
      </w:r>
      <w:r w:rsidR="00D13575">
        <w:t xml:space="preserve">the </w:t>
      </w:r>
      <w:r>
        <w:t xml:space="preserve">recipient’s payment packages and forwarding to DHHS/PMS for processing. </w:t>
      </w:r>
    </w:p>
    <w:p w14:paraId="5CE8AC4A" w14:textId="20EDBF62" w:rsidR="006F3495" w:rsidRDefault="006F3495" w:rsidP="00DA6B50">
      <w:pPr>
        <w:pStyle w:val="NPRlist2"/>
      </w:pPr>
      <w:r>
        <w:t xml:space="preserve">Assisting DHHS with the establishment of accounts for </w:t>
      </w:r>
      <w:r w:rsidR="00D13575">
        <w:t xml:space="preserve">the </w:t>
      </w:r>
      <w:r>
        <w:t xml:space="preserve">new recipient. </w:t>
      </w:r>
    </w:p>
    <w:p w14:paraId="65268260" w14:textId="77777777" w:rsidR="006F3495" w:rsidRDefault="006F3495" w:rsidP="00DA6B50">
      <w:pPr>
        <w:pStyle w:val="NPRlist2"/>
      </w:pPr>
      <w:r>
        <w:t>Monitoring and reconciling drawdowns.</w:t>
      </w:r>
    </w:p>
    <w:p w14:paraId="11648182" w14:textId="77777777" w:rsidR="006F3495" w:rsidRDefault="006F3495" w:rsidP="00DA6B50">
      <w:pPr>
        <w:pStyle w:val="NPRlist2"/>
      </w:pPr>
      <w:r>
        <w:t>Preparing the quarterly FFR status report and forwarding to designated grant officers.</w:t>
      </w:r>
    </w:p>
    <w:p w14:paraId="57C90987" w14:textId="6AACCD88" w:rsidR="006F3495" w:rsidRDefault="00D13575" w:rsidP="00DA6B50">
      <w:pPr>
        <w:pStyle w:val="NPRlist2"/>
      </w:pPr>
      <w:r>
        <w:t>Reconciling the final FFR</w:t>
      </w:r>
      <w:r w:rsidR="006F3495">
        <w:t xml:space="preserve"> and forwarding </w:t>
      </w:r>
      <w:r w:rsidR="00783909">
        <w:t>the reconciliation to the NSSC close-out t</w:t>
      </w:r>
      <w:r w:rsidR="006F3495">
        <w:t>eam.</w:t>
      </w:r>
    </w:p>
    <w:p w14:paraId="567F6DD0" w14:textId="393ED380" w:rsidR="006F3495" w:rsidRDefault="006F3495" w:rsidP="00DA6B50">
      <w:pPr>
        <w:pStyle w:val="NPRlist2"/>
      </w:pPr>
      <w:r>
        <w:t xml:space="preserve">Receiving and processing DHHS/PMS refunds (through </w:t>
      </w:r>
      <w:proofErr w:type="spellStart"/>
      <w:r>
        <w:t>Intrag</w:t>
      </w:r>
      <w:r w:rsidRPr="00AE71AB">
        <w:t>overnmental</w:t>
      </w:r>
      <w:proofErr w:type="spellEnd"/>
      <w:r w:rsidRPr="00AE71AB">
        <w:t xml:space="preserve"> Payment and Collection</w:t>
      </w:r>
      <w:r>
        <w:t xml:space="preserve"> (IPAC)) into appropriate U</w:t>
      </w:r>
      <w:r w:rsidR="00D13575">
        <w:t>.</w:t>
      </w:r>
      <w:r>
        <w:t>S</w:t>
      </w:r>
      <w:r w:rsidR="00D13575">
        <w:t>.</w:t>
      </w:r>
      <w:r>
        <w:t xml:space="preserve"> </w:t>
      </w:r>
      <w:r w:rsidRPr="00E10EEA">
        <w:t xml:space="preserve">Standard General Ledger </w:t>
      </w:r>
      <w:r w:rsidR="00D13575">
        <w:t>(USSGL accounts</w:t>
      </w:r>
      <w:r w:rsidR="00E53258">
        <w:t>)</w:t>
      </w:r>
      <w:r w:rsidR="00D13575">
        <w:t>.</w:t>
      </w:r>
    </w:p>
    <w:p w14:paraId="71A4A25F" w14:textId="18AD1510" w:rsidR="006F3495" w:rsidRDefault="006F3495" w:rsidP="00DA6B50">
      <w:pPr>
        <w:pStyle w:val="NPR3"/>
      </w:pPr>
      <w:r>
        <w:t>Center CFOs shall monitor grants in accordance with the</w:t>
      </w:r>
      <w:r w:rsidR="00EB05FE">
        <w:t xml:space="preserve"> CMP</w:t>
      </w:r>
      <w:r>
        <w:t>.</w:t>
      </w:r>
    </w:p>
    <w:p w14:paraId="53F6003C" w14:textId="0536E671" w:rsidR="00783909" w:rsidRDefault="006F3495" w:rsidP="00DA6B50">
      <w:pPr>
        <w:pStyle w:val="NPR3"/>
      </w:pPr>
      <w:r>
        <w:t>Recipients shall comply with NASA and DHHS/PMS requirements for advance payment (2 CFR §200.</w:t>
      </w:r>
      <w:r w:rsidR="00EB05FE">
        <w:t>305)</w:t>
      </w:r>
      <w:r>
        <w:t xml:space="preserve"> and the terms set forth in the Federal award to ensure a continuation of advance payments. </w:t>
      </w:r>
    </w:p>
    <w:p w14:paraId="41C51289" w14:textId="28A81F14" w:rsidR="006F3495" w:rsidRDefault="00783909" w:rsidP="00783909">
      <w:pPr>
        <w:spacing w:after="0"/>
      </w:pPr>
      <w:r>
        <w:br w:type="page"/>
      </w:r>
    </w:p>
    <w:p w14:paraId="3BD9463B" w14:textId="77777777" w:rsidR="006F3495" w:rsidRDefault="006F3495" w:rsidP="00DA6B50">
      <w:pPr>
        <w:pStyle w:val="NPR1"/>
      </w:pPr>
      <w:bookmarkStart w:id="35" w:name="_Toc421521260"/>
      <w:bookmarkStart w:id="36" w:name="_Toc424296225"/>
      <w:r>
        <w:lastRenderedPageBreak/>
        <w:t>Suspension and Termination of Advance Payments</w:t>
      </w:r>
      <w:bookmarkEnd w:id="35"/>
      <w:bookmarkEnd w:id="36"/>
    </w:p>
    <w:p w14:paraId="1968123D" w14:textId="77777777" w:rsidR="006F3495" w:rsidRDefault="006F3495" w:rsidP="00DA6B50">
      <w:pPr>
        <w:pStyle w:val="NPR2"/>
      </w:pPr>
      <w:bookmarkStart w:id="37" w:name="_Toc398881820"/>
      <w:bookmarkStart w:id="38" w:name="_Toc421521261"/>
      <w:bookmarkStart w:id="39" w:name="_Toc424296226"/>
      <w:r>
        <w:t>Overview</w:t>
      </w:r>
      <w:bookmarkEnd w:id="37"/>
      <w:bookmarkEnd w:id="38"/>
      <w:bookmarkEnd w:id="39"/>
      <w:r>
        <w:t xml:space="preserve"> </w:t>
      </w:r>
    </w:p>
    <w:p w14:paraId="4890689B" w14:textId="31F034D1" w:rsidR="006F3495" w:rsidRDefault="006F3495" w:rsidP="00DA6B50">
      <w:r>
        <w:t xml:space="preserve">This chapter provides NASA’s requirements for suspension or termination of a recipient’s advance payment when a recipient is unwilling or unable to comply with cash management, financial systems, financial reporting requirements, </w:t>
      </w:r>
      <w:r w:rsidRPr="0087662E">
        <w:t>or the terms and conditions of the award</w:t>
      </w:r>
      <w:r>
        <w:t>. (Refer to 2 CFR §</w:t>
      </w:r>
      <w:r w:rsidRPr="009F439C">
        <w:t>200.305 Payment</w:t>
      </w:r>
      <w:r w:rsidR="00EB05FE">
        <w:t>.)</w:t>
      </w:r>
      <w:r>
        <w:t xml:space="preserve">  A recipient’s inability to meet the requirements of the Federal award may also impact the advance payment option.  When advance payments are suspended or terminated due to an inability to meet the award requirements and the Federal award is continued, NASA </w:t>
      </w:r>
      <w:r w:rsidR="001C2BB6">
        <w:t xml:space="preserve">will </w:t>
      </w:r>
      <w:r>
        <w:t>pay the recipient by the reimbursement payment method.</w:t>
      </w:r>
    </w:p>
    <w:p w14:paraId="6709CFDB" w14:textId="77777777" w:rsidR="006F3495" w:rsidRPr="00287167" w:rsidRDefault="006F3495" w:rsidP="00DA6B50">
      <w:pPr>
        <w:pStyle w:val="NPR2"/>
      </w:pPr>
      <w:bookmarkStart w:id="40" w:name="_Toc398881821"/>
      <w:bookmarkStart w:id="41" w:name="_Toc424296227"/>
      <w:r w:rsidRPr="00287167">
        <w:t>Agency Requirements</w:t>
      </w:r>
      <w:bookmarkEnd w:id="40"/>
      <w:bookmarkEnd w:id="41"/>
    </w:p>
    <w:p w14:paraId="7E7804AF" w14:textId="77777777" w:rsidR="006F3495" w:rsidRDefault="006F3495" w:rsidP="00DA6B50">
      <w:pPr>
        <w:pStyle w:val="NPR3"/>
      </w:pPr>
      <w:r>
        <w:t>When a recipient has demonstrated an unwillingness or inability to comply with cash management, financial management system, or financial reporting requirements, the grant officer, after consultation with the NSSC/GSFC CFO, may temporarily suspend advance payment to the recipient pending corrective action by the recipient.  In addition to the financial requirements, if a recipient fails to comply with specific conditions of the grant or cooperative agreement, the grant officer may request the NSSC/GSFC CFO to suspend or terminate the advance payment.  In limited circumstances,</w:t>
      </w:r>
      <w:r w:rsidRPr="002B1AE9">
        <w:t xml:space="preserve"> the severity of the violation </w:t>
      </w:r>
      <w:r>
        <w:t xml:space="preserve">may </w:t>
      </w:r>
      <w:r w:rsidRPr="002B1AE9">
        <w:t>warrant</w:t>
      </w:r>
      <w:r>
        <w:t xml:space="preserve"> an immediate termination of advance payment.</w:t>
      </w:r>
    </w:p>
    <w:p w14:paraId="5D589EA4" w14:textId="77777777" w:rsidR="006F3495" w:rsidRDefault="006F3495" w:rsidP="00DA6B50">
      <w:pPr>
        <w:pStyle w:val="NPR3"/>
      </w:pPr>
      <w:r w:rsidRPr="002B1AE9">
        <w:t xml:space="preserve">A decision to terminate </w:t>
      </w:r>
      <w:r>
        <w:t>advance payment is</w:t>
      </w:r>
      <w:r w:rsidRPr="002B1AE9">
        <w:t xml:space="preserve"> predicate</w:t>
      </w:r>
      <w:r>
        <w:t xml:space="preserve">d upon a recipient’s </w:t>
      </w:r>
      <w:r w:rsidRPr="002B1AE9">
        <w:t>consistent demonstration of an unwillingness or inability to comply with cash management, financial management system, financial reporting requirements</w:t>
      </w:r>
      <w:r>
        <w:t>, or grant and cooperative agreement terms/conditions/objectives</w:t>
      </w:r>
      <w:r w:rsidRPr="002B1AE9">
        <w:t xml:space="preserve">. </w:t>
      </w:r>
      <w:r>
        <w:t xml:space="preserve"> The grant office may initiate </w:t>
      </w:r>
      <w:r w:rsidRPr="002B1AE9">
        <w:t>terminat</w:t>
      </w:r>
      <w:r>
        <w:t>i</w:t>
      </w:r>
      <w:r w:rsidRPr="002B1AE9">
        <w:t>on</w:t>
      </w:r>
      <w:r>
        <w:t xml:space="preserve"> of the advance payment after </w:t>
      </w:r>
      <w:r w:rsidRPr="002B1AE9">
        <w:t xml:space="preserve">the recipient </w:t>
      </w:r>
      <w:r>
        <w:t xml:space="preserve">has failed to implement the agreed upon corrective action or the advance payment </w:t>
      </w:r>
      <w:r w:rsidRPr="002B1AE9">
        <w:t>ha</w:t>
      </w:r>
      <w:r>
        <w:t>s</w:t>
      </w:r>
      <w:r w:rsidRPr="002B1AE9">
        <w:t xml:space="preserve"> been suspended </w:t>
      </w:r>
      <w:r>
        <w:t xml:space="preserve">a minimum of </w:t>
      </w:r>
      <w:r w:rsidRPr="002B1AE9">
        <w:t>two times</w:t>
      </w:r>
      <w:r>
        <w:t>.</w:t>
      </w:r>
    </w:p>
    <w:p w14:paraId="2BCAD72A" w14:textId="77777777" w:rsidR="006F3495" w:rsidRDefault="006F3495" w:rsidP="00DA6B50">
      <w:pPr>
        <w:pStyle w:val="NPR3"/>
      </w:pPr>
      <w:r>
        <w:t>T</w:t>
      </w:r>
      <w:r w:rsidRPr="002B1AE9">
        <w:t xml:space="preserve">he </w:t>
      </w:r>
      <w:r>
        <w:t>g</w:t>
      </w:r>
      <w:r w:rsidRPr="002B1AE9">
        <w:t xml:space="preserve">rant </w:t>
      </w:r>
      <w:r>
        <w:t>o</w:t>
      </w:r>
      <w:r w:rsidRPr="002B1AE9">
        <w:t xml:space="preserve">fficer </w:t>
      </w:r>
      <w:r>
        <w:t>notifies the recipient in writing</w:t>
      </w:r>
      <w:r w:rsidRPr="002B1AE9">
        <w:t xml:space="preserve">. </w:t>
      </w:r>
      <w:r>
        <w:t xml:space="preserve"> At a minimum, the notification will include the determination, the supporting documentation, and the effective date.  Following termination of advance payment, </w:t>
      </w:r>
      <w:r w:rsidRPr="002B1AE9">
        <w:t xml:space="preserve">the recipient </w:t>
      </w:r>
      <w:r>
        <w:t>will receive payment through the reimbursement payment method (2 CFR</w:t>
      </w:r>
      <w:r w:rsidRPr="00A16061">
        <w:t xml:space="preserve"> </w:t>
      </w:r>
      <w:r>
        <w:t>§200.305(b)(3)).</w:t>
      </w:r>
      <w:r w:rsidRPr="002B1AE9">
        <w:t xml:space="preserve"> </w:t>
      </w:r>
    </w:p>
    <w:p w14:paraId="1FAD3B14" w14:textId="77777777" w:rsidR="006F3495" w:rsidRDefault="006F3495" w:rsidP="00DA6B50">
      <w:pPr>
        <w:pStyle w:val="NPR2"/>
      </w:pPr>
      <w:bookmarkStart w:id="42" w:name="_Toc421521262"/>
      <w:bookmarkStart w:id="43" w:name="_Toc424296228"/>
      <w:r>
        <w:t>Offending Conditions and Notification</w:t>
      </w:r>
      <w:bookmarkEnd w:id="42"/>
      <w:bookmarkEnd w:id="43"/>
    </w:p>
    <w:p w14:paraId="53C0396B" w14:textId="77777777" w:rsidR="006F3495" w:rsidRPr="00E812FE" w:rsidRDefault="006F3495" w:rsidP="00DA6B50">
      <w:pPr>
        <w:pStyle w:val="NPR3"/>
      </w:pPr>
      <w:r w:rsidRPr="00CE160E">
        <w:t>Suspension/Termination Conditions</w:t>
      </w:r>
      <w:r>
        <w:t xml:space="preserve">.  </w:t>
      </w:r>
      <w:r w:rsidRPr="00E812FE">
        <w:t xml:space="preserve">This section describes common </w:t>
      </w:r>
      <w:r>
        <w:t xml:space="preserve">offending </w:t>
      </w:r>
      <w:r w:rsidRPr="00E812FE">
        <w:t xml:space="preserve">situations when a grant officer may suspend or terminate advance payments to a recipient.  </w:t>
      </w:r>
    </w:p>
    <w:p w14:paraId="10679ED5" w14:textId="77777777" w:rsidR="006F3495" w:rsidRPr="00DA6B50" w:rsidRDefault="006F3495" w:rsidP="009D0E3A">
      <w:pPr>
        <w:pStyle w:val="NPRlist10"/>
        <w:numPr>
          <w:ilvl w:val="0"/>
          <w:numId w:val="16"/>
        </w:numPr>
        <w:rPr>
          <w:b/>
        </w:rPr>
      </w:pPr>
      <w:r w:rsidRPr="00CD53DC">
        <w:t xml:space="preserve">Recipient withdraws funds in excess of current requirements.  </w:t>
      </w:r>
      <w:r>
        <w:t xml:space="preserve">A grant officer may suspend </w:t>
      </w:r>
      <w:r w:rsidRPr="00CD53DC">
        <w:t xml:space="preserve">the advance payments </w:t>
      </w:r>
      <w:r>
        <w:t>a</w:t>
      </w:r>
      <w:r w:rsidRPr="00CD53DC">
        <w:t>s an initial remedy</w:t>
      </w:r>
      <w:r>
        <w:t xml:space="preserve"> </w:t>
      </w:r>
      <w:r w:rsidRPr="00CD53DC">
        <w:t xml:space="preserve">to give the recipient time to correct the situation.  If the recipient organization continues to withdraw funds in excess of current needs, </w:t>
      </w:r>
      <w:r>
        <w:t xml:space="preserve">the grant officer may terminate </w:t>
      </w:r>
      <w:r w:rsidRPr="00CD53DC">
        <w:t>advance payments</w:t>
      </w:r>
      <w:r>
        <w:t xml:space="preserve">.  </w:t>
      </w:r>
      <w:r w:rsidRPr="00CD53DC">
        <w:t xml:space="preserve">The recipient would be placed on the reimbursement </w:t>
      </w:r>
      <w:r>
        <w:t xml:space="preserve">payment </w:t>
      </w:r>
      <w:r w:rsidRPr="00CD53DC">
        <w:t>method to finance its operations with its own working capital.</w:t>
      </w:r>
    </w:p>
    <w:p w14:paraId="72450680" w14:textId="77777777" w:rsidR="006F3495" w:rsidRDefault="006F3495" w:rsidP="00DA6B50">
      <w:pPr>
        <w:pStyle w:val="NPRlist10"/>
      </w:pPr>
      <w:r>
        <w:t xml:space="preserve">Recipient fails to establish procedures that minimize the time elapsing between drawdown and their related disbursements.  The grant officer may suspend the advance payment when a </w:t>
      </w:r>
      <w:r>
        <w:lastRenderedPageBreak/>
        <w:t xml:space="preserve">recipient is unwilling or unable to establish required cash management procedures.  The suspension gives the recipient time to establish the required procedures. </w:t>
      </w:r>
    </w:p>
    <w:p w14:paraId="5D175462" w14:textId="77777777" w:rsidR="006F3495" w:rsidRDefault="006F3495" w:rsidP="00DA6B50">
      <w:pPr>
        <w:pStyle w:val="NPRlist10"/>
      </w:pPr>
      <w:r>
        <w:t xml:space="preserve">Recipient is unwilling or unable to establish a financial management system that meets the standard requirements (identified in 1.2.1), as evidenced by an inability to meet financial requirements or as identified in an audit report.  The grant officer may place the recipient on the reimbursement payment method until the recipient is able to correct and validate the situation. </w:t>
      </w:r>
    </w:p>
    <w:p w14:paraId="630D256A" w14:textId="77777777" w:rsidR="006F3495" w:rsidRDefault="006F3495" w:rsidP="00DA6B50">
      <w:pPr>
        <w:pStyle w:val="NPRlist10"/>
      </w:pPr>
      <w:r>
        <w:t xml:space="preserve">Recipient fails to submit a FFR by established due dates.  When a recipient fails to submit required financial management reports on a timely basis, DHHS/PMS may suspend drawdowns until the recipient complies with reporting requirements.  DHHS/PMS provides NSSC a status report on a quarterly basis.  This status report indicates the status of each recipient submitting the FFR.  The NSSC provides the status report to the Procurement Office for review and determination of action regarding those recipients who did not file required reports. </w:t>
      </w:r>
    </w:p>
    <w:p w14:paraId="0A615058" w14:textId="77777777" w:rsidR="006F3495" w:rsidRDefault="006F3495" w:rsidP="00DA6B50">
      <w:pPr>
        <w:pStyle w:val="NPRlist10"/>
      </w:pPr>
      <w:r>
        <w:t xml:space="preserve">Recipient fails to comply with the non-financial terms and conditions of the grant or cooperative agreement.  The grant officer may initiate suspension or termination of advance payments in this situation.  In these cases, the grant officer shall consult with the NSSC/GSFC CFO. </w:t>
      </w:r>
    </w:p>
    <w:p w14:paraId="5253E49C" w14:textId="7FE1C866" w:rsidR="006F3495" w:rsidRDefault="006F3495" w:rsidP="00DA6B50">
      <w:pPr>
        <w:pStyle w:val="NPR3"/>
      </w:pPr>
      <w:r w:rsidRPr="00CE160E">
        <w:t>Notification of Suspension, Termination, and Reinstatement</w:t>
      </w:r>
      <w:r w:rsidR="00EB05FE">
        <w:t xml:space="preserve">. </w:t>
      </w:r>
      <w:r w:rsidRPr="00CE160E">
        <w:t xml:space="preserve"> </w:t>
      </w:r>
      <w:r>
        <w:t>Suspension, termination, and reinstatement of advance payment may be initiated by DHHS/PMS, or the responsible grant officer, depending on the offending condition.  For any offending condition, the recipient will promptly be notified in writing of the deter</w:t>
      </w:r>
      <w:r w:rsidR="00833B8F">
        <w:t>mination and the effective date</w:t>
      </w:r>
      <w:r>
        <w:t xml:space="preserve"> and provided supporting documentation.  </w:t>
      </w:r>
    </w:p>
    <w:p w14:paraId="777607B0" w14:textId="77E20591" w:rsidR="006F3495" w:rsidRDefault="006F3495" w:rsidP="00DA6B50">
      <w:pPr>
        <w:pStyle w:val="NPR4"/>
      </w:pPr>
      <w:r>
        <w:t>Following are the no</w:t>
      </w:r>
      <w:r w:rsidR="00833B8F">
        <w:t>tification requirements for non-</w:t>
      </w:r>
      <w:r>
        <w:t xml:space="preserve">DHHS/PMS initiated actions: </w:t>
      </w:r>
    </w:p>
    <w:p w14:paraId="0611F509" w14:textId="2C13B506" w:rsidR="001C2BB6" w:rsidRDefault="006F3495" w:rsidP="009D0E3A">
      <w:pPr>
        <w:pStyle w:val="NPRlist10"/>
        <w:numPr>
          <w:ilvl w:val="0"/>
          <w:numId w:val="17"/>
        </w:numPr>
      </w:pPr>
      <w:r>
        <w:t>The grant officer shall promptly notify the recipient, in writing</w:t>
      </w:r>
      <w:r w:rsidR="001C2BB6">
        <w:t>:</w:t>
      </w:r>
    </w:p>
    <w:p w14:paraId="79F204C0" w14:textId="0B146992" w:rsidR="006F3495" w:rsidRDefault="001C2BB6" w:rsidP="001C2BB6">
      <w:pPr>
        <w:pStyle w:val="NPRlist10"/>
        <w:numPr>
          <w:ilvl w:val="0"/>
          <w:numId w:val="0"/>
        </w:numPr>
      </w:pPr>
      <w:r>
        <w:t xml:space="preserve">(1) Of </w:t>
      </w:r>
      <w:r w:rsidR="006F3495">
        <w:t xml:space="preserve">the determination to temporarily withhold further payments pending corrective action by the recipient or pending a decision to terminate.  For suspensions imposed by DHHS/PMS for negligence in providing required FFR, the recipient will be notified by e-mail that the report is delinquent. </w:t>
      </w:r>
    </w:p>
    <w:p w14:paraId="54AD3994" w14:textId="2922B6F8" w:rsidR="006F3495" w:rsidRDefault="001C2BB6" w:rsidP="001C2BB6">
      <w:pPr>
        <w:pStyle w:val="NPRlist10"/>
        <w:numPr>
          <w:ilvl w:val="0"/>
          <w:numId w:val="0"/>
        </w:numPr>
      </w:pPr>
      <w:r>
        <w:t>(2) O</w:t>
      </w:r>
      <w:r w:rsidR="006F3495">
        <w:t xml:space="preserve">f the determination, the reasons for termination, and the effective date. </w:t>
      </w:r>
    </w:p>
    <w:p w14:paraId="1486B81D" w14:textId="33D21306" w:rsidR="006F3495" w:rsidRDefault="001C2BB6" w:rsidP="001C2BB6">
      <w:pPr>
        <w:pStyle w:val="NPRlist10"/>
        <w:numPr>
          <w:ilvl w:val="0"/>
          <w:numId w:val="0"/>
        </w:numPr>
      </w:pPr>
      <w:r>
        <w:t>(3) T</w:t>
      </w:r>
      <w:r w:rsidR="006F3495">
        <w:t xml:space="preserve">hat a previously suspended or terminated arrangement is to be reinstated, including the reasons for the reinstatement and the effective date. </w:t>
      </w:r>
    </w:p>
    <w:p w14:paraId="0F51DFBE" w14:textId="77777777" w:rsidR="001C2BB6" w:rsidRDefault="006F3495" w:rsidP="00DA6B50">
      <w:pPr>
        <w:pStyle w:val="NPR4"/>
      </w:pPr>
      <w:r>
        <w:t>The grant officer shall</w:t>
      </w:r>
      <w:r w:rsidR="001C2BB6">
        <w:t>:</w:t>
      </w:r>
      <w:r>
        <w:t xml:space="preserve"> </w:t>
      </w:r>
    </w:p>
    <w:p w14:paraId="53014022" w14:textId="54E00751" w:rsidR="006F3495" w:rsidRDefault="001C2BB6" w:rsidP="001C2BB6">
      <w:pPr>
        <w:pStyle w:val="NPR4"/>
        <w:numPr>
          <w:ilvl w:val="0"/>
          <w:numId w:val="0"/>
        </w:numPr>
      </w:pPr>
      <w:r>
        <w:t xml:space="preserve">a. Coordinate </w:t>
      </w:r>
      <w:r w:rsidR="006F3495">
        <w:t>the action</w:t>
      </w:r>
      <w:r w:rsidR="00833B8F">
        <w:t xml:space="preserve"> with other affected cognizant A</w:t>
      </w:r>
      <w:r w:rsidR="006F3495">
        <w:t xml:space="preserve">gency staff before implementing the action. </w:t>
      </w:r>
    </w:p>
    <w:p w14:paraId="72063675" w14:textId="6A7D572F" w:rsidR="002B12D7" w:rsidRDefault="001C2BB6" w:rsidP="001C2BB6">
      <w:pPr>
        <w:pStyle w:val="NPR4"/>
        <w:numPr>
          <w:ilvl w:val="0"/>
          <w:numId w:val="0"/>
        </w:numPr>
      </w:pPr>
      <w:bookmarkStart w:id="44" w:name="_Toc398881822"/>
      <w:r>
        <w:t>b. N</w:t>
      </w:r>
      <w:r w:rsidR="006F3495">
        <w:t xml:space="preserve">otify DHHS/PMS, in writing, of any determination to suspend, terminate, or reinstate a recipient’s advance payment. </w:t>
      </w:r>
    </w:p>
    <w:p w14:paraId="658699B0" w14:textId="77777777" w:rsidR="002B12D7" w:rsidRDefault="002B12D7">
      <w:pPr>
        <w:spacing w:after="0"/>
      </w:pPr>
      <w:r>
        <w:br w:type="page"/>
      </w:r>
    </w:p>
    <w:p w14:paraId="64FCB630" w14:textId="77777777" w:rsidR="006F3495" w:rsidRDefault="006F3495" w:rsidP="00DA6B50">
      <w:pPr>
        <w:pStyle w:val="NPR2"/>
      </w:pPr>
      <w:bookmarkStart w:id="45" w:name="_Toc421521263"/>
      <w:bookmarkStart w:id="46" w:name="_Toc424296229"/>
      <w:r>
        <w:lastRenderedPageBreak/>
        <w:t>Roles and Responsibilities</w:t>
      </w:r>
      <w:bookmarkEnd w:id="44"/>
      <w:bookmarkEnd w:id="45"/>
      <w:bookmarkEnd w:id="46"/>
    </w:p>
    <w:p w14:paraId="4DE63A0F" w14:textId="77777777" w:rsidR="006F3495" w:rsidRDefault="006F3495" w:rsidP="00DA6B50">
      <w:pPr>
        <w:pStyle w:val="NPR3"/>
      </w:pPr>
      <w:r>
        <w:t xml:space="preserve">The Agency CFO/Deputy CFO (Finance) shall maintain policy on NASA advance payment suspension and termination requirements. </w:t>
      </w:r>
    </w:p>
    <w:p w14:paraId="144E3D80" w14:textId="77777777" w:rsidR="006F3495" w:rsidRDefault="006F3495" w:rsidP="00DA6B50">
      <w:pPr>
        <w:pStyle w:val="NPR3"/>
      </w:pPr>
      <w:r>
        <w:t xml:space="preserve">The NASA Grant Officer shall: </w:t>
      </w:r>
    </w:p>
    <w:p w14:paraId="189A0822" w14:textId="77777777" w:rsidR="006F3495" w:rsidRDefault="006F3495" w:rsidP="009D0E3A">
      <w:pPr>
        <w:pStyle w:val="NPRlist10"/>
        <w:numPr>
          <w:ilvl w:val="0"/>
          <w:numId w:val="18"/>
        </w:numPr>
      </w:pPr>
      <w:r>
        <w:t xml:space="preserve">Request the NSSC CFO to either suspend or terminate advance payment to a recipient when a recipient has failed to comply with requirements outlined in 1.2.1, the grant or cooperative agreement objectives, the terms and conditions of the award, or NASA reporting requirements. </w:t>
      </w:r>
    </w:p>
    <w:p w14:paraId="5340F733" w14:textId="77777777" w:rsidR="00833B8F" w:rsidRDefault="006F3495" w:rsidP="00833B8F">
      <w:pPr>
        <w:pStyle w:val="NPRlist10"/>
        <w:spacing w:after="0"/>
      </w:pPr>
      <w:r>
        <w:t>Notify recipients when suspension or termination of advance p</w:t>
      </w:r>
      <w:r w:rsidR="00833B8F">
        <w:t xml:space="preserve">ayment may be initiated for </w:t>
      </w:r>
    </w:p>
    <w:p w14:paraId="6836AF68" w14:textId="7C8847C3" w:rsidR="006F3495" w:rsidRDefault="002A0129" w:rsidP="00833B8F">
      <w:pPr>
        <w:pStyle w:val="NPRlist10"/>
        <w:numPr>
          <w:ilvl w:val="0"/>
          <w:numId w:val="0"/>
        </w:numPr>
      </w:pPr>
      <w:r>
        <w:t>non</w:t>
      </w:r>
      <w:r w:rsidR="006F3495">
        <w:t xml:space="preserve">compliance. </w:t>
      </w:r>
    </w:p>
    <w:p w14:paraId="14F40552" w14:textId="77777777" w:rsidR="006F3495" w:rsidRDefault="006F3495" w:rsidP="00DA6B50">
      <w:pPr>
        <w:pStyle w:val="NPRlist10"/>
      </w:pPr>
      <w:r>
        <w:t xml:space="preserve">Notify the technical officer of suspension or termination of advance payment to a recipient. </w:t>
      </w:r>
    </w:p>
    <w:p w14:paraId="707CDAC6" w14:textId="77777777" w:rsidR="006F3495" w:rsidRPr="00812C89" w:rsidRDefault="006F3495" w:rsidP="00DA6B50">
      <w:pPr>
        <w:pStyle w:val="NPRlist10"/>
      </w:pPr>
      <w:r w:rsidRPr="00812C89">
        <w:t xml:space="preserve">Notify DHHS/PMS, in writing, of any determination to suspend, terminate, or reinstate a recipient’s advance payment. </w:t>
      </w:r>
    </w:p>
    <w:p w14:paraId="00E1E2C8" w14:textId="77777777" w:rsidR="006F3495" w:rsidRDefault="006F3495" w:rsidP="00DA6B50">
      <w:pPr>
        <w:pStyle w:val="NPRlist10"/>
      </w:pPr>
      <w:r>
        <w:t>Take prompt action to suspend drawdowns or terminate advance payments to the recipients in accordance to this NPR.</w:t>
      </w:r>
    </w:p>
    <w:p w14:paraId="74C5C814" w14:textId="77777777" w:rsidR="006F3495" w:rsidRDefault="006F3495" w:rsidP="006F3495">
      <w:r>
        <w:br w:type="page"/>
      </w:r>
    </w:p>
    <w:p w14:paraId="629994A9" w14:textId="77777777" w:rsidR="006F3495" w:rsidRPr="00427246" w:rsidRDefault="006F3495" w:rsidP="00DA6B50">
      <w:pPr>
        <w:pStyle w:val="Appendix1"/>
      </w:pPr>
      <w:bookmarkStart w:id="47" w:name="_Toc411505940"/>
      <w:bookmarkStart w:id="48" w:name="_Toc421521264"/>
      <w:bookmarkStart w:id="49" w:name="_Toc424296230"/>
      <w:bookmarkStart w:id="50" w:name="_Toc398881823"/>
      <w:r w:rsidRPr="00427246">
        <w:lastRenderedPageBreak/>
        <w:t>Definitions</w:t>
      </w:r>
      <w:bookmarkEnd w:id="47"/>
      <w:bookmarkEnd w:id="48"/>
      <w:bookmarkEnd w:id="49"/>
    </w:p>
    <w:p w14:paraId="38E90444" w14:textId="607A91A6" w:rsidR="006F3495" w:rsidRPr="00427246" w:rsidRDefault="006F3495" w:rsidP="00DA6B50">
      <w:r w:rsidRPr="00427246">
        <w:rPr>
          <w:b/>
        </w:rPr>
        <w:t xml:space="preserve">Advance </w:t>
      </w:r>
      <w:r>
        <w:rPr>
          <w:b/>
        </w:rPr>
        <w:t>P</w:t>
      </w:r>
      <w:r w:rsidRPr="00427246">
        <w:rPr>
          <w:b/>
        </w:rPr>
        <w:t xml:space="preserve">ayment </w:t>
      </w:r>
      <w:r w:rsidRPr="00E53258">
        <w:rPr>
          <w:b/>
        </w:rPr>
        <w:t>(2 CFR §200.3).</w:t>
      </w:r>
      <w:r w:rsidRPr="00427246">
        <w:t xml:space="preserve"> </w:t>
      </w:r>
      <w:r>
        <w:t xml:space="preserve"> </w:t>
      </w:r>
      <w:r w:rsidRPr="00427246">
        <w:t>A payment that a Federal awarding agency or pass-through entity makes by any appropriate payment mechanism, including a predetermined pa</w:t>
      </w:r>
      <w:r w:rsidR="00833B8F">
        <w:t>yment schedule, before the non-F</w:t>
      </w:r>
      <w:r w:rsidRPr="00427246">
        <w:t>ederal entity disburses the funds for program purposes.</w:t>
      </w:r>
    </w:p>
    <w:p w14:paraId="5E557B9E" w14:textId="575F0B78" w:rsidR="006F3495" w:rsidRPr="00427246" w:rsidRDefault="006F3495" w:rsidP="00DA6B50">
      <w:r w:rsidRPr="00427246">
        <w:rPr>
          <w:b/>
        </w:rPr>
        <w:t xml:space="preserve">Cooperative Agreement </w:t>
      </w:r>
      <w:r w:rsidRPr="00E53258">
        <w:rPr>
          <w:b/>
        </w:rPr>
        <w:t>(2 CFR §200.24).</w:t>
      </w:r>
      <w:r w:rsidRPr="00427246">
        <w:t xml:space="preserve"> </w:t>
      </w:r>
      <w:r>
        <w:t xml:space="preserve"> </w:t>
      </w:r>
      <w:r w:rsidRPr="00427246">
        <w:t>A legal instrument reflecting a relationship between the United States Govern</w:t>
      </w:r>
      <w:r w:rsidR="00833B8F">
        <w:t>ment and a s</w:t>
      </w:r>
      <w:r w:rsidRPr="00427246">
        <w:t>tate, a local government, or other recipient when (1) the principal purpose of the relationship is to tr</w:t>
      </w:r>
      <w:r w:rsidR="00833B8F">
        <w:t>ansfer a thing of value to the s</w:t>
      </w:r>
      <w:r w:rsidRPr="00427246">
        <w:t xml:space="preserve">tate, local government, or other recipient to carry out a public purpose of support or stimulation authorized by a law of the United States instead of acquiring (by purchase, lease, or barter) property or services for the direct benefit or use of the United States Government; and (2) substantial involvement </w:t>
      </w:r>
      <w:r w:rsidRPr="00C9090B">
        <w:t>is</w:t>
      </w:r>
      <w:r w:rsidRPr="00427246">
        <w:t xml:space="preserve"> expected betwee</w:t>
      </w:r>
      <w:r w:rsidR="00833B8F">
        <w:t>n the executive agency and the s</w:t>
      </w:r>
      <w:r w:rsidRPr="00427246">
        <w:t xml:space="preserve">tate, local government, or other recipient when carrying out the activity contemplated in the agreement. </w:t>
      </w:r>
      <w:r w:rsidR="002B12D7">
        <w:t xml:space="preserve"> </w:t>
      </w:r>
      <w:r w:rsidR="00EE7BB5">
        <w:t xml:space="preserve">(31 </w:t>
      </w:r>
      <w:r w:rsidR="00E53258">
        <w:t xml:space="preserve">U.S.C. </w:t>
      </w:r>
      <w:r>
        <w:t>§</w:t>
      </w:r>
      <w:r w:rsidRPr="00427246">
        <w:t>6305</w:t>
      </w:r>
      <w:r w:rsidR="00833B8F">
        <w:t>.</w:t>
      </w:r>
      <w:r w:rsidRPr="00427246">
        <w:t>)</w:t>
      </w:r>
    </w:p>
    <w:p w14:paraId="10745137" w14:textId="4F9D47A8" w:rsidR="006F3495" w:rsidRPr="00427246" w:rsidRDefault="006F3495" w:rsidP="00DA6B50">
      <w:r w:rsidRPr="00427246">
        <w:rPr>
          <w:b/>
        </w:rPr>
        <w:t xml:space="preserve">Grant Agreement </w:t>
      </w:r>
      <w:r w:rsidRPr="00E53258">
        <w:rPr>
          <w:b/>
        </w:rPr>
        <w:t>(2 CFR §200.51).</w:t>
      </w:r>
      <w:r w:rsidRPr="00427246">
        <w:t xml:space="preserve">  A legal instrument reflecting a relationship between the </w:t>
      </w:r>
      <w:r w:rsidR="00833B8F">
        <w:t>United States Government and a s</w:t>
      </w:r>
      <w:r w:rsidRPr="00427246">
        <w:t>tate, a local government, or other recipient when (1) the principal purpose of the relationship is to tr</w:t>
      </w:r>
      <w:r w:rsidR="00833B8F">
        <w:t>ansfer a thing of value to the s</w:t>
      </w:r>
      <w:r w:rsidRPr="00427246">
        <w:t xml:space="preserve">tate or local government or other recipient to carry out a public purpose of support or stimulation authorized by a law of the United States instead of acquiring (by purchase, lease, or barter) property or services for the direct benefit or use of the United States Government; and (2) substantial involvement </w:t>
      </w:r>
      <w:r w:rsidRPr="00E649B2">
        <w:t>is not</w:t>
      </w:r>
      <w:r w:rsidRPr="00427246">
        <w:t xml:space="preserve"> expected betwee</w:t>
      </w:r>
      <w:r w:rsidR="00833B8F">
        <w:t>n the executive agency and the s</w:t>
      </w:r>
      <w:r w:rsidRPr="00427246">
        <w:t>tate, local government, or other recipient when carrying out the activity contemplated in the agreement.</w:t>
      </w:r>
      <w:r w:rsidR="00A55439">
        <w:t xml:space="preserve"> </w:t>
      </w:r>
      <w:r w:rsidR="00E53258">
        <w:t xml:space="preserve"> (31 U.S.C. </w:t>
      </w:r>
      <w:r>
        <w:t>§</w:t>
      </w:r>
      <w:r w:rsidRPr="00427246">
        <w:t>6304</w:t>
      </w:r>
      <w:r w:rsidR="00833B8F">
        <w:t>.</w:t>
      </w:r>
      <w:r w:rsidRPr="00427246">
        <w:t>)</w:t>
      </w:r>
    </w:p>
    <w:p w14:paraId="595C6546" w14:textId="7BD89BD2" w:rsidR="006F3495" w:rsidRPr="00427246" w:rsidRDefault="006F3495" w:rsidP="00DA6B50">
      <w:r w:rsidRPr="00427246">
        <w:rPr>
          <w:b/>
        </w:rPr>
        <w:t xml:space="preserve">Federal Award </w:t>
      </w:r>
      <w:r w:rsidRPr="00E53258">
        <w:rPr>
          <w:b/>
        </w:rPr>
        <w:t>(2 CFR §200.38).</w:t>
      </w:r>
      <w:r w:rsidRPr="00427246">
        <w:t xml:space="preserve"> </w:t>
      </w:r>
      <w:r>
        <w:t xml:space="preserve"> </w:t>
      </w:r>
      <w:r w:rsidRPr="00427246">
        <w:t>The Federal financial assistance that a non-</w:t>
      </w:r>
      <w:r w:rsidR="00833B8F">
        <w:t>F</w:t>
      </w:r>
      <w:r w:rsidRPr="00427246">
        <w:t>ederal entity receives directly from a Federal awarding agency or indirectly from a pass-t</w:t>
      </w:r>
      <w:r w:rsidR="00EE7BB5">
        <w:t>hrough entity</w:t>
      </w:r>
      <w:r w:rsidR="00833B8F">
        <w:t>,</w:t>
      </w:r>
      <w:r w:rsidR="00EE7BB5">
        <w:t xml:space="preserve"> as described in 2 </w:t>
      </w:r>
      <w:r>
        <w:t>CFR</w:t>
      </w:r>
      <w:r w:rsidRPr="00427246">
        <w:t xml:space="preserve"> §200.101 Applicability; or the cost-reimbursement contract under the Federal Acqu</w:t>
      </w:r>
      <w:r>
        <w:t>isition Regula</w:t>
      </w:r>
      <w:r w:rsidR="00833B8F">
        <w:t>tions that a non-F</w:t>
      </w:r>
      <w:r w:rsidRPr="00427246">
        <w:t xml:space="preserve">ederal entity receives directly from a Federal awarding agency or indirectly from a pass-through entity, as described in 2 </w:t>
      </w:r>
      <w:r>
        <w:t>CFR</w:t>
      </w:r>
      <w:r w:rsidRPr="00427246">
        <w:t xml:space="preserve"> §200.101 Applicability.</w:t>
      </w:r>
    </w:p>
    <w:p w14:paraId="48A61468" w14:textId="77777777" w:rsidR="006F3495" w:rsidRPr="00427246" w:rsidRDefault="006F3495" w:rsidP="00DA6B50">
      <w:r w:rsidRPr="00427246">
        <w:rPr>
          <w:b/>
        </w:rPr>
        <w:t xml:space="preserve">Non-Federal Entity </w:t>
      </w:r>
      <w:r w:rsidRPr="00E53258">
        <w:rPr>
          <w:b/>
        </w:rPr>
        <w:t>(2 CFR §200.69).</w:t>
      </w:r>
      <w:r w:rsidRPr="00427246">
        <w:t xml:space="preserve"> </w:t>
      </w:r>
      <w:r>
        <w:t xml:space="preserve"> </w:t>
      </w:r>
      <w:r w:rsidRPr="00427246">
        <w:t xml:space="preserve">A state, local government, Indian tribe, institution of higher education (IHE), or nonprofit organization that carries out a Federal award as a recipient or </w:t>
      </w:r>
      <w:proofErr w:type="spellStart"/>
      <w:r w:rsidRPr="00427246">
        <w:t>subrecipient</w:t>
      </w:r>
      <w:proofErr w:type="spellEnd"/>
      <w:r w:rsidRPr="00427246">
        <w:t>.</w:t>
      </w:r>
    </w:p>
    <w:p w14:paraId="2669BBCA" w14:textId="77777777" w:rsidR="006F3495" w:rsidRDefault="006F3495" w:rsidP="00DA6B50">
      <w:r w:rsidRPr="00427246">
        <w:rPr>
          <w:b/>
        </w:rPr>
        <w:t xml:space="preserve">Nonprofit Organization </w:t>
      </w:r>
      <w:r w:rsidRPr="00E53258">
        <w:rPr>
          <w:b/>
        </w:rPr>
        <w:t>(2 CFR §200.70).</w:t>
      </w:r>
      <w:r w:rsidRPr="00427246">
        <w:t xml:space="preserve"> </w:t>
      </w:r>
      <w:r>
        <w:t xml:space="preserve"> </w:t>
      </w:r>
      <w:r w:rsidRPr="00427246">
        <w:t>Any corporation, trust, association, cooperative, or other organization, not including an IHE that (a) is operated primarily for scientific, educational, service, charitable, or similar purposes in the public interest; (b) is not organized primarily for profit; and (c) uses net proceeds to maintain, improve, or expand the operations of the organization</w:t>
      </w:r>
      <w:r>
        <w:t>.</w:t>
      </w:r>
    </w:p>
    <w:p w14:paraId="4155FE56" w14:textId="77777777" w:rsidR="006F3495" w:rsidRDefault="006F3495" w:rsidP="00DA6B50">
      <w:r w:rsidRPr="00427246">
        <w:rPr>
          <w:b/>
        </w:rPr>
        <w:t>Payment Management System (PMS)</w:t>
      </w:r>
      <w:r w:rsidRPr="00E53258">
        <w:rPr>
          <w:b/>
        </w:rPr>
        <w:t>.</w:t>
      </w:r>
      <w:r w:rsidRPr="00427246">
        <w:t xml:space="preserve"> </w:t>
      </w:r>
      <w:r>
        <w:t xml:space="preserve"> </w:t>
      </w:r>
      <w:r w:rsidRPr="00427246">
        <w:t xml:space="preserve">A centralized grants payment and cash management system that provides awarding agencies and grant recipients tools to manage grant payment requests, drawdowns, and disbursement reporting activities. </w:t>
      </w:r>
      <w:r>
        <w:t xml:space="preserve"> </w:t>
      </w:r>
      <w:r w:rsidRPr="00427246">
        <w:t>PMS may be used to pay grant recipients and to obtain their FFRs.</w:t>
      </w:r>
    </w:p>
    <w:p w14:paraId="1D2E78D2" w14:textId="77777777" w:rsidR="00833B8F" w:rsidRDefault="006F3495" w:rsidP="005B0A26">
      <w:pPr>
        <w:spacing w:after="0"/>
      </w:pPr>
      <w:r w:rsidRPr="00F03BFE">
        <w:rPr>
          <w:b/>
        </w:rPr>
        <w:t>Reimbursement Payment Method.</w:t>
      </w:r>
      <w:r>
        <w:t xml:space="preserve"> </w:t>
      </w:r>
      <w:r w:rsidRPr="00FB21E1">
        <w:t xml:space="preserve"> A payment method b</w:t>
      </w:r>
      <w:r w:rsidR="00833B8F">
        <w:t xml:space="preserve">ased on incurred costs the </w:t>
      </w:r>
    </w:p>
    <w:p w14:paraId="1B0B0DCC" w14:textId="1ADDDF57" w:rsidR="006F3495" w:rsidRPr="00427246" w:rsidRDefault="00833B8F" w:rsidP="00DA6B50">
      <w:r>
        <w:t>non-F</w:t>
      </w:r>
      <w:r w:rsidR="006F3495" w:rsidRPr="00FB21E1">
        <w:t>ederal entity has disbursed for a grant or cooperative agreement.</w:t>
      </w:r>
    </w:p>
    <w:p w14:paraId="01C09FBB" w14:textId="77777777" w:rsidR="006F3495" w:rsidRDefault="006F3495" w:rsidP="00DA6B50">
      <w:pPr>
        <w:pStyle w:val="Appendix1"/>
      </w:pPr>
      <w:bookmarkStart w:id="51" w:name="_Toc421521265"/>
      <w:bookmarkStart w:id="52" w:name="_Toc424296231"/>
      <w:r>
        <w:lastRenderedPageBreak/>
        <w:t>Acronyms</w:t>
      </w:r>
      <w:bookmarkEnd w:id="50"/>
      <w:bookmarkEnd w:id="51"/>
      <w:bookmarkEnd w:id="52"/>
      <w:r>
        <w:t xml:space="preserve"> </w:t>
      </w:r>
    </w:p>
    <w:p w14:paraId="55BC8001" w14:textId="77777777" w:rsidR="006F3495" w:rsidRDefault="006F3495" w:rsidP="00622C85">
      <w:pPr>
        <w:tabs>
          <w:tab w:val="left" w:pos="1800"/>
        </w:tabs>
      </w:pPr>
      <w:r>
        <w:t>CFO</w:t>
      </w:r>
      <w:r>
        <w:tab/>
        <w:t>Chief Financial Office</w:t>
      </w:r>
    </w:p>
    <w:p w14:paraId="3B87939D" w14:textId="77777777" w:rsidR="006F3495" w:rsidRDefault="006F3495" w:rsidP="00622C85">
      <w:pPr>
        <w:tabs>
          <w:tab w:val="left" w:pos="1800"/>
        </w:tabs>
      </w:pPr>
      <w:r>
        <w:t>CFR</w:t>
      </w:r>
      <w:r>
        <w:tab/>
        <w:t>Code of Federal Regulation</w:t>
      </w:r>
    </w:p>
    <w:p w14:paraId="5B36B212" w14:textId="77777777" w:rsidR="006F3495" w:rsidRDefault="006F3495" w:rsidP="00622C85">
      <w:pPr>
        <w:tabs>
          <w:tab w:val="left" w:pos="1800"/>
        </w:tabs>
      </w:pPr>
      <w:r>
        <w:t>CMP</w:t>
      </w:r>
      <w:r>
        <w:tab/>
        <w:t>Continuous Monitoring Program</w:t>
      </w:r>
    </w:p>
    <w:p w14:paraId="5C5A33AE" w14:textId="77777777" w:rsidR="006F3495" w:rsidRDefault="006F3495" w:rsidP="00622C85">
      <w:pPr>
        <w:tabs>
          <w:tab w:val="left" w:pos="1800"/>
        </w:tabs>
      </w:pPr>
      <w:r>
        <w:t>DHHS/PMS</w:t>
      </w:r>
      <w:r>
        <w:tab/>
        <w:t xml:space="preserve">Department of Health and Human Services/Payment Management Services </w:t>
      </w:r>
    </w:p>
    <w:p w14:paraId="0B7D7D92" w14:textId="77777777" w:rsidR="006F3495" w:rsidRDefault="006F3495" w:rsidP="00622C85">
      <w:pPr>
        <w:tabs>
          <w:tab w:val="left" w:pos="1800"/>
        </w:tabs>
      </w:pPr>
      <w:r>
        <w:t>FAR</w:t>
      </w:r>
      <w:r>
        <w:tab/>
        <w:t>Federal Acquisition Regulation</w:t>
      </w:r>
    </w:p>
    <w:p w14:paraId="6846F7F8" w14:textId="77777777" w:rsidR="006F3495" w:rsidRDefault="006F3495" w:rsidP="00622C85">
      <w:pPr>
        <w:tabs>
          <w:tab w:val="left" w:pos="1800"/>
        </w:tabs>
      </w:pPr>
      <w:r>
        <w:t>FFR</w:t>
      </w:r>
      <w:r>
        <w:tab/>
        <w:t>Federal Financial Report</w:t>
      </w:r>
    </w:p>
    <w:p w14:paraId="05A3CC33" w14:textId="0F7267EF" w:rsidR="006F3495" w:rsidRDefault="006F3495" w:rsidP="00CE4F21">
      <w:pPr>
        <w:tabs>
          <w:tab w:val="left" w:pos="1800"/>
        </w:tabs>
        <w:ind w:left="1800" w:hanging="1800"/>
      </w:pPr>
      <w:r>
        <w:t>JPL</w:t>
      </w:r>
      <w:r>
        <w:tab/>
        <w:t>Jet Propulsion Laboratory</w:t>
      </w:r>
      <w:r w:rsidR="00CE4F21">
        <w:t xml:space="preserve">, </w:t>
      </w:r>
      <w:r w:rsidR="00CE4F21">
        <w:t>a Federally Funded Research and Development Center</w:t>
      </w:r>
      <w:r>
        <w:t xml:space="preserve"> </w:t>
      </w:r>
    </w:p>
    <w:p w14:paraId="77DD719A" w14:textId="77777777" w:rsidR="006F3495" w:rsidRDefault="006F3495" w:rsidP="00622C85">
      <w:pPr>
        <w:tabs>
          <w:tab w:val="left" w:pos="1800"/>
        </w:tabs>
      </w:pPr>
      <w:r>
        <w:t>NASA</w:t>
      </w:r>
      <w:r>
        <w:tab/>
        <w:t>National Aeronautics and Space Administration</w:t>
      </w:r>
    </w:p>
    <w:p w14:paraId="055C202D" w14:textId="77777777" w:rsidR="006F3495" w:rsidRDefault="006F3495" w:rsidP="00622C85">
      <w:pPr>
        <w:tabs>
          <w:tab w:val="left" w:pos="1800"/>
        </w:tabs>
      </w:pPr>
      <w:r>
        <w:t>NPR</w:t>
      </w:r>
      <w:r>
        <w:tab/>
        <w:t>NASA Procedural Req</w:t>
      </w:r>
      <w:bookmarkStart w:id="53" w:name="_GoBack"/>
      <w:bookmarkEnd w:id="53"/>
      <w:r>
        <w:t>uirements</w:t>
      </w:r>
    </w:p>
    <w:p w14:paraId="3A4B224F" w14:textId="77777777" w:rsidR="006F3495" w:rsidRDefault="006F3495" w:rsidP="00622C85">
      <w:pPr>
        <w:tabs>
          <w:tab w:val="left" w:pos="1800"/>
        </w:tabs>
      </w:pPr>
      <w:r>
        <w:t>NSSC</w:t>
      </w:r>
      <w:r>
        <w:tab/>
        <w:t>NASA Shared Services Center</w:t>
      </w:r>
    </w:p>
    <w:p w14:paraId="6F7000DF" w14:textId="77777777" w:rsidR="006F3495" w:rsidRDefault="006F3495" w:rsidP="00622C85">
      <w:pPr>
        <w:tabs>
          <w:tab w:val="left" w:pos="1800"/>
        </w:tabs>
      </w:pPr>
      <w:r>
        <w:t>OMB</w:t>
      </w:r>
      <w:r>
        <w:tab/>
        <w:t>Office of Management and Budget</w:t>
      </w:r>
    </w:p>
    <w:p w14:paraId="36DE527D" w14:textId="77777777" w:rsidR="006F3495" w:rsidRDefault="006F3495" w:rsidP="00622C85">
      <w:pPr>
        <w:tabs>
          <w:tab w:val="left" w:pos="1800"/>
        </w:tabs>
      </w:pPr>
      <w:r>
        <w:t>PMS</w:t>
      </w:r>
      <w:r>
        <w:tab/>
        <w:t>Payment Management System</w:t>
      </w:r>
    </w:p>
    <w:p w14:paraId="0A0F5969" w14:textId="77777777" w:rsidR="006F3495" w:rsidRDefault="006F3495" w:rsidP="00622C85">
      <w:pPr>
        <w:tabs>
          <w:tab w:val="left" w:pos="1800"/>
        </w:tabs>
      </w:pPr>
      <w:r>
        <w:t>TFM</w:t>
      </w:r>
      <w:r>
        <w:tab/>
        <w:t>Treasury Financial Manual</w:t>
      </w:r>
    </w:p>
    <w:p w14:paraId="09E5B603" w14:textId="77777777" w:rsidR="006F3495" w:rsidRDefault="006F3495" w:rsidP="00622C85">
      <w:pPr>
        <w:tabs>
          <w:tab w:val="left" w:pos="1800"/>
        </w:tabs>
      </w:pPr>
      <w:r>
        <w:t>U.S.C.</w:t>
      </w:r>
      <w:r>
        <w:tab/>
        <w:t>United States Code</w:t>
      </w:r>
    </w:p>
    <w:p w14:paraId="4C8452A7" w14:textId="77777777" w:rsidR="006F3495" w:rsidRDefault="006F3495" w:rsidP="00DA6B50"/>
    <w:p w14:paraId="0B63A80A" w14:textId="77777777" w:rsidR="00FD7A0A" w:rsidRDefault="00FD7A0A" w:rsidP="00366475"/>
    <w:sectPr w:rsidR="00FD7A0A" w:rsidSect="005B0A26">
      <w:footerReference w:type="default" r:id="rId9"/>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0258B" w14:textId="77777777" w:rsidR="00847D70" w:rsidRDefault="00847D70" w:rsidP="00F46E46">
      <w:pPr>
        <w:spacing w:after="0"/>
      </w:pPr>
      <w:r>
        <w:separator/>
      </w:r>
    </w:p>
  </w:endnote>
  <w:endnote w:type="continuationSeparator" w:id="0">
    <w:p w14:paraId="1DABEB93" w14:textId="77777777" w:rsidR="00847D70" w:rsidRDefault="00847D70" w:rsidP="00F46E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806816"/>
      <w:docPartObj>
        <w:docPartGallery w:val="Page Numbers (Bottom of Page)"/>
        <w:docPartUnique/>
      </w:docPartObj>
    </w:sdtPr>
    <w:sdtEndPr>
      <w:rPr>
        <w:noProof/>
      </w:rPr>
    </w:sdtEndPr>
    <w:sdtContent>
      <w:p w14:paraId="4E765090" w14:textId="77777777" w:rsidR="001C2BB6" w:rsidRDefault="001C2BB6">
        <w:pPr>
          <w:pStyle w:val="Footer"/>
          <w:jc w:val="right"/>
        </w:pPr>
        <w:r>
          <w:fldChar w:fldCharType="begin"/>
        </w:r>
        <w:r>
          <w:instrText xml:space="preserve"> PAGE   \* MERGEFORMAT </w:instrText>
        </w:r>
        <w:r>
          <w:fldChar w:fldCharType="separate"/>
        </w:r>
        <w:r w:rsidR="00CE4F21">
          <w:rPr>
            <w:noProof/>
          </w:rPr>
          <w:t>12</w:t>
        </w:r>
        <w:r>
          <w:rPr>
            <w:noProof/>
          </w:rPr>
          <w:fldChar w:fldCharType="end"/>
        </w:r>
      </w:p>
    </w:sdtContent>
  </w:sdt>
  <w:p w14:paraId="2BFD784F" w14:textId="77777777" w:rsidR="001C2BB6" w:rsidRDefault="001C2BB6" w:rsidP="00432E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4C968" w14:textId="77777777" w:rsidR="00847D70" w:rsidRDefault="00847D70" w:rsidP="00F46E46">
      <w:pPr>
        <w:spacing w:after="0"/>
      </w:pPr>
      <w:r>
        <w:separator/>
      </w:r>
    </w:p>
  </w:footnote>
  <w:footnote w:type="continuationSeparator" w:id="0">
    <w:p w14:paraId="67527FC0" w14:textId="77777777" w:rsidR="00847D70" w:rsidRDefault="00847D70" w:rsidP="00F46E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EE8"/>
    <w:multiLevelType w:val="hybridMultilevel"/>
    <w:tmpl w:val="5C688A10"/>
    <w:lvl w:ilvl="0" w:tplc="6BDAF622">
      <w:start w:val="1"/>
      <w:numFmt w:val="decimal"/>
      <w:pStyle w:val="NPR111"/>
      <w:lvlText w:val="1.%1.1"/>
      <w:lvlJc w:val="left"/>
      <w:pPr>
        <w:ind w:left="71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A2E36"/>
    <w:multiLevelType w:val="multilevel"/>
    <w:tmpl w:val="0409001D"/>
    <w:styleLink w:val="NPRList1"/>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88735E5"/>
    <w:multiLevelType w:val="multilevel"/>
    <w:tmpl w:val="0AF83324"/>
    <w:lvl w:ilvl="0">
      <w:start w:val="1"/>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PREFACE"/>
      <w:lvlJc w:val="left"/>
      <w:pPr>
        <w:ind w:left="0" w:firstLine="0"/>
      </w:pPr>
      <w:rPr>
        <w:rFonts w:hint="default"/>
      </w:rPr>
    </w:lvl>
    <w:lvl w:ilvl="6">
      <w:start w:val="1"/>
      <w:numFmt w:val="decimal"/>
      <w:pStyle w:val="Preface2"/>
      <w:suff w:val="space"/>
      <w:lvlText w:val="P.%7"/>
      <w:lvlJc w:val="left"/>
      <w:pPr>
        <w:ind w:left="1350" w:firstLine="0"/>
      </w:pPr>
      <w:rPr>
        <w:rFonts w:hint="default"/>
      </w:rPr>
    </w:lvl>
    <w:lvl w:ilvl="7">
      <w:start w:val="1"/>
      <w:numFmt w:val="upperLetter"/>
      <w:lvlRestart w:val="0"/>
      <w:pStyle w:val="Appendix1"/>
      <w:suff w:val="space"/>
      <w:lvlText w:val="Appendix %8."/>
      <w:lvlJc w:val="left"/>
      <w:pPr>
        <w:ind w:left="0" w:firstLine="0"/>
      </w:pPr>
      <w:rPr>
        <w:rFonts w:hint="default"/>
      </w:rPr>
    </w:lvl>
    <w:lvl w:ilvl="8">
      <w:start w:val="1"/>
      <w:numFmt w:val="decimal"/>
      <w:pStyle w:val="Appendix2"/>
      <w:suff w:val="space"/>
      <w:lvlText w:val="%8.%9."/>
      <w:lvlJc w:val="left"/>
      <w:pPr>
        <w:ind w:left="0" w:firstLine="0"/>
      </w:pPr>
      <w:rPr>
        <w:rFonts w:ascii="Times New Roman" w:eastAsia="Calibri" w:hAnsi="Times New Roman" w:cs="Times New Roman" w:hint="default"/>
        <w:b w:val="0"/>
      </w:rPr>
    </w:lvl>
  </w:abstractNum>
  <w:abstractNum w:abstractNumId="3" w15:restartNumberingAfterBreak="0">
    <w:nsid w:val="59776443"/>
    <w:multiLevelType w:val="hybridMultilevel"/>
    <w:tmpl w:val="BA886EE6"/>
    <w:lvl w:ilvl="0" w:tplc="2D72E700">
      <w:start w:val="1"/>
      <w:numFmt w:val="lowerLetter"/>
      <w:pStyle w:val="NPRa"/>
      <w:lvlText w:val="%1."/>
      <w:lvlJc w:val="left"/>
      <w:pPr>
        <w:ind w:left="2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390C70E">
      <w:start w:val="1"/>
      <w:numFmt w:val="decimal"/>
      <w:lvlText w:val="(%2)"/>
      <w:lvlJc w:val="left"/>
      <w:pPr>
        <w:ind w:left="844"/>
      </w:pPr>
      <w:rPr>
        <w:rFonts w:hint="default"/>
        <w:b w:val="0"/>
        <w:i w:val="0"/>
        <w:strike w:val="0"/>
        <w:dstrike w:val="0"/>
        <w:color w:val="000000"/>
        <w:sz w:val="24"/>
        <w:szCs w:val="24"/>
        <w:u w:val="none" w:color="000000"/>
        <w:bdr w:val="none" w:sz="0" w:space="0" w:color="auto"/>
        <w:shd w:val="clear" w:color="auto" w:fill="auto"/>
        <w:vertAlign w:val="baseline"/>
      </w:rPr>
    </w:lvl>
    <w:lvl w:ilvl="2" w:tplc="202A5C1C">
      <w:start w:val="1"/>
      <w:numFmt w:val="lowerRoman"/>
      <w:lvlText w:val="%3"/>
      <w:lvlJc w:val="left"/>
      <w:pPr>
        <w:ind w:left="1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AA5CA8">
      <w:start w:val="1"/>
      <w:numFmt w:val="decimal"/>
      <w:lvlText w:val="%4"/>
      <w:lvlJc w:val="left"/>
      <w:pPr>
        <w:ind w:left="2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50874C">
      <w:start w:val="1"/>
      <w:numFmt w:val="lowerLetter"/>
      <w:lvlText w:val="%5"/>
      <w:lvlJc w:val="left"/>
      <w:pPr>
        <w:ind w:left="3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E6F746">
      <w:start w:val="1"/>
      <w:numFmt w:val="lowerRoman"/>
      <w:lvlText w:val="%6"/>
      <w:lvlJc w:val="left"/>
      <w:pPr>
        <w:ind w:left="3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20F904">
      <w:start w:val="1"/>
      <w:numFmt w:val="decimal"/>
      <w:lvlText w:val="%7"/>
      <w:lvlJc w:val="left"/>
      <w:pPr>
        <w:ind w:left="4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BC3F00">
      <w:start w:val="1"/>
      <w:numFmt w:val="lowerLetter"/>
      <w:lvlText w:val="%8"/>
      <w:lvlJc w:val="left"/>
      <w:pPr>
        <w:ind w:left="5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0AA828">
      <w:start w:val="1"/>
      <w:numFmt w:val="lowerRoman"/>
      <w:lvlText w:val="%9"/>
      <w:lvlJc w:val="left"/>
      <w:pPr>
        <w:ind w:left="5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F0C2ADA"/>
    <w:multiLevelType w:val="multilevel"/>
    <w:tmpl w:val="8AEE4C92"/>
    <w:lvl w:ilvl="0">
      <w:start w:val="1"/>
      <w:numFmt w:val="decimal"/>
      <w:pStyle w:val="NPR1"/>
      <w:suff w:val="space"/>
      <w:lvlText w:val="Chapter %1"/>
      <w:lvlJc w:val="left"/>
      <w:pPr>
        <w:ind w:left="0" w:firstLine="0"/>
      </w:pPr>
      <w:rPr>
        <w:rFonts w:ascii="Times New Roman" w:hAnsi="Times New Roman" w:hint="default"/>
        <w:b/>
        <w:i w:val="0"/>
        <w:sz w:val="32"/>
        <w:szCs w:val="24"/>
      </w:rPr>
    </w:lvl>
    <w:lvl w:ilvl="1">
      <w:start w:val="1"/>
      <w:numFmt w:val="decimal"/>
      <w:pStyle w:val="NPR2"/>
      <w:suff w:val="space"/>
      <w:lvlText w:val="%1.%2"/>
      <w:lvlJc w:val="left"/>
      <w:pPr>
        <w:ind w:left="0" w:firstLine="0"/>
      </w:pPr>
      <w:rPr>
        <w:rFonts w:hint="default"/>
      </w:rPr>
    </w:lvl>
    <w:lvl w:ilvl="2">
      <w:start w:val="1"/>
      <w:numFmt w:val="decimal"/>
      <w:pStyle w:val="NPR3"/>
      <w:suff w:val="space"/>
      <w:lvlText w:val="%1.%2.%3"/>
      <w:lvlJc w:val="left"/>
      <w:pPr>
        <w:ind w:left="0" w:firstLine="0"/>
      </w:pPr>
      <w:rPr>
        <w:rFonts w:hint="default"/>
      </w:rPr>
    </w:lvl>
    <w:lvl w:ilvl="3">
      <w:start w:val="1"/>
      <w:numFmt w:val="decimal"/>
      <w:pStyle w:val="NPR4"/>
      <w:suff w:val="space"/>
      <w:lvlText w:val="%1.%2.%3.%4"/>
      <w:lvlJc w:val="left"/>
      <w:pPr>
        <w:ind w:left="0" w:firstLine="0"/>
      </w:pPr>
      <w:rPr>
        <w:rFonts w:hint="default"/>
      </w:rPr>
    </w:lvl>
    <w:lvl w:ilvl="4">
      <w:start w:val="1"/>
      <w:numFmt w:val="decimal"/>
      <w:pStyle w:val="NPR5"/>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6ACB2F35"/>
    <w:multiLevelType w:val="multilevel"/>
    <w:tmpl w:val="95929484"/>
    <w:styleLink w:val="Style2"/>
    <w:lvl w:ilvl="0">
      <w:start w:val="1"/>
      <w:numFmt w:val="lowerLetter"/>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7FA3531A"/>
    <w:multiLevelType w:val="multilevel"/>
    <w:tmpl w:val="49F48B76"/>
    <w:lvl w:ilvl="0">
      <w:start w:val="1"/>
      <w:numFmt w:val="lowerLetter"/>
      <w:pStyle w:val="NPRlist10"/>
      <w:suff w:val="space"/>
      <w:lvlText w:val="%1."/>
      <w:lvlJc w:val="left"/>
      <w:pPr>
        <w:ind w:left="0" w:firstLine="0"/>
      </w:pPr>
      <w:rPr>
        <w:rFonts w:hint="default"/>
        <w:b w:val="0"/>
      </w:rPr>
    </w:lvl>
    <w:lvl w:ilvl="1">
      <w:start w:val="1"/>
      <w:numFmt w:val="decimal"/>
      <w:pStyle w:val="NPRlist2"/>
      <w:suff w:val="space"/>
      <w:lvlText w:val="(%2)"/>
      <w:lvlJc w:val="left"/>
      <w:pPr>
        <w:ind w:left="0" w:firstLine="0"/>
      </w:pPr>
      <w:rPr>
        <w:rFonts w:hint="default"/>
      </w:rPr>
    </w:lvl>
    <w:lvl w:ilvl="2">
      <w:start w:val="1"/>
      <w:numFmt w:val="lowerLetter"/>
      <w:pStyle w:val="NPRlist3"/>
      <w:suff w:val="spac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6"/>
  </w:num>
  <w:num w:numId="3">
    <w:abstractNumId w:val="4"/>
  </w:num>
  <w:num w:numId="4">
    <w:abstractNumId w:val="2"/>
  </w:num>
  <w:num w:numId="5">
    <w:abstractNumId w:val="5"/>
  </w:num>
  <w:num w:numId="6">
    <w:abstractNumId w:val="3"/>
    <w:lvlOverride w:ilvl="0">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proofState w:spelling="clean" w:grammar="clean"/>
  <w:attachedTemplate r:id="rId1"/>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CD"/>
    <w:rsid w:val="00001488"/>
    <w:rsid w:val="00005119"/>
    <w:rsid w:val="000073EB"/>
    <w:rsid w:val="000106C6"/>
    <w:rsid w:val="0001224B"/>
    <w:rsid w:val="000146B0"/>
    <w:rsid w:val="000152B5"/>
    <w:rsid w:val="0001580A"/>
    <w:rsid w:val="00015E38"/>
    <w:rsid w:val="00016508"/>
    <w:rsid w:val="00016CAA"/>
    <w:rsid w:val="00020A53"/>
    <w:rsid w:val="0002217A"/>
    <w:rsid w:val="000222A9"/>
    <w:rsid w:val="00030731"/>
    <w:rsid w:val="00030BB8"/>
    <w:rsid w:val="0003162B"/>
    <w:rsid w:val="0003615D"/>
    <w:rsid w:val="00036B6A"/>
    <w:rsid w:val="00037218"/>
    <w:rsid w:val="000409B2"/>
    <w:rsid w:val="00040AD2"/>
    <w:rsid w:val="00041D4F"/>
    <w:rsid w:val="000457E0"/>
    <w:rsid w:val="00047DEE"/>
    <w:rsid w:val="00050B6F"/>
    <w:rsid w:val="00050DB7"/>
    <w:rsid w:val="000510D4"/>
    <w:rsid w:val="000510FB"/>
    <w:rsid w:val="000524C0"/>
    <w:rsid w:val="00053F79"/>
    <w:rsid w:val="00055493"/>
    <w:rsid w:val="000555D2"/>
    <w:rsid w:val="0005616E"/>
    <w:rsid w:val="00056D29"/>
    <w:rsid w:val="0006081C"/>
    <w:rsid w:val="000625F5"/>
    <w:rsid w:val="00062B3C"/>
    <w:rsid w:val="00063E6D"/>
    <w:rsid w:val="00065B07"/>
    <w:rsid w:val="0006647F"/>
    <w:rsid w:val="000703F3"/>
    <w:rsid w:val="000709E8"/>
    <w:rsid w:val="00071BC9"/>
    <w:rsid w:val="00073F8C"/>
    <w:rsid w:val="00074FE3"/>
    <w:rsid w:val="00076D27"/>
    <w:rsid w:val="00077A57"/>
    <w:rsid w:val="000832A7"/>
    <w:rsid w:val="00085DB6"/>
    <w:rsid w:val="0008618F"/>
    <w:rsid w:val="000879D4"/>
    <w:rsid w:val="00087EAC"/>
    <w:rsid w:val="00090426"/>
    <w:rsid w:val="00090874"/>
    <w:rsid w:val="00091CEB"/>
    <w:rsid w:val="00093690"/>
    <w:rsid w:val="00094DF4"/>
    <w:rsid w:val="00097CD6"/>
    <w:rsid w:val="00097EC2"/>
    <w:rsid w:val="000A07C5"/>
    <w:rsid w:val="000A0B14"/>
    <w:rsid w:val="000A0C93"/>
    <w:rsid w:val="000A360E"/>
    <w:rsid w:val="000A6AD7"/>
    <w:rsid w:val="000A7D0F"/>
    <w:rsid w:val="000B262A"/>
    <w:rsid w:val="000B31FE"/>
    <w:rsid w:val="000B32A0"/>
    <w:rsid w:val="000B369B"/>
    <w:rsid w:val="000B36EC"/>
    <w:rsid w:val="000B6AF6"/>
    <w:rsid w:val="000C053B"/>
    <w:rsid w:val="000C103E"/>
    <w:rsid w:val="000C1DFE"/>
    <w:rsid w:val="000C3D5C"/>
    <w:rsid w:val="000C6B71"/>
    <w:rsid w:val="000C6BA4"/>
    <w:rsid w:val="000C762C"/>
    <w:rsid w:val="000C79D9"/>
    <w:rsid w:val="000C7EE2"/>
    <w:rsid w:val="000D09C2"/>
    <w:rsid w:val="000D1262"/>
    <w:rsid w:val="000D1D8D"/>
    <w:rsid w:val="000D28FE"/>
    <w:rsid w:val="000D440F"/>
    <w:rsid w:val="000D4970"/>
    <w:rsid w:val="000D4DB1"/>
    <w:rsid w:val="000D5794"/>
    <w:rsid w:val="000D5FB3"/>
    <w:rsid w:val="000D7291"/>
    <w:rsid w:val="000E26A6"/>
    <w:rsid w:val="000E3C40"/>
    <w:rsid w:val="000E3F66"/>
    <w:rsid w:val="000E5673"/>
    <w:rsid w:val="000F3888"/>
    <w:rsid w:val="000F5294"/>
    <w:rsid w:val="000F6462"/>
    <w:rsid w:val="000F6B76"/>
    <w:rsid w:val="0010117E"/>
    <w:rsid w:val="00101376"/>
    <w:rsid w:val="00101F9C"/>
    <w:rsid w:val="0010410A"/>
    <w:rsid w:val="00104DDA"/>
    <w:rsid w:val="00106540"/>
    <w:rsid w:val="0011045A"/>
    <w:rsid w:val="00110CA2"/>
    <w:rsid w:val="00110D14"/>
    <w:rsid w:val="00112DE0"/>
    <w:rsid w:val="001133A1"/>
    <w:rsid w:val="00113856"/>
    <w:rsid w:val="0011462C"/>
    <w:rsid w:val="00115234"/>
    <w:rsid w:val="00115B33"/>
    <w:rsid w:val="00121C98"/>
    <w:rsid w:val="00122C0C"/>
    <w:rsid w:val="00123F2B"/>
    <w:rsid w:val="00125CD4"/>
    <w:rsid w:val="00130F6C"/>
    <w:rsid w:val="00136CEC"/>
    <w:rsid w:val="00137C3E"/>
    <w:rsid w:val="001427FD"/>
    <w:rsid w:val="001446FC"/>
    <w:rsid w:val="00145454"/>
    <w:rsid w:val="001468B3"/>
    <w:rsid w:val="00152E8F"/>
    <w:rsid w:val="00153DA7"/>
    <w:rsid w:val="001563DE"/>
    <w:rsid w:val="00163D2F"/>
    <w:rsid w:val="00167F93"/>
    <w:rsid w:val="00171F45"/>
    <w:rsid w:val="0017472C"/>
    <w:rsid w:val="001836E7"/>
    <w:rsid w:val="001934CD"/>
    <w:rsid w:val="001957C1"/>
    <w:rsid w:val="0019637E"/>
    <w:rsid w:val="00196509"/>
    <w:rsid w:val="00196AA1"/>
    <w:rsid w:val="001A0AC1"/>
    <w:rsid w:val="001A10BB"/>
    <w:rsid w:val="001A3110"/>
    <w:rsid w:val="001A5522"/>
    <w:rsid w:val="001A7BF7"/>
    <w:rsid w:val="001B3379"/>
    <w:rsid w:val="001B71EF"/>
    <w:rsid w:val="001C0179"/>
    <w:rsid w:val="001C017B"/>
    <w:rsid w:val="001C100A"/>
    <w:rsid w:val="001C13CD"/>
    <w:rsid w:val="001C1CAD"/>
    <w:rsid w:val="001C2BB6"/>
    <w:rsid w:val="001C3436"/>
    <w:rsid w:val="001C6DB9"/>
    <w:rsid w:val="001D1105"/>
    <w:rsid w:val="001D1F85"/>
    <w:rsid w:val="001D2914"/>
    <w:rsid w:val="001D34F3"/>
    <w:rsid w:val="001D6FF7"/>
    <w:rsid w:val="001E1EEE"/>
    <w:rsid w:val="001E48DC"/>
    <w:rsid w:val="001F2D43"/>
    <w:rsid w:val="001F51D6"/>
    <w:rsid w:val="001F5216"/>
    <w:rsid w:val="001F5611"/>
    <w:rsid w:val="001F7E09"/>
    <w:rsid w:val="001F7FE2"/>
    <w:rsid w:val="00200B4B"/>
    <w:rsid w:val="002012C7"/>
    <w:rsid w:val="002052F6"/>
    <w:rsid w:val="00210BAB"/>
    <w:rsid w:val="002126D6"/>
    <w:rsid w:val="0021353D"/>
    <w:rsid w:val="00213C8A"/>
    <w:rsid w:val="00214784"/>
    <w:rsid w:val="00216217"/>
    <w:rsid w:val="002214AF"/>
    <w:rsid w:val="0022184F"/>
    <w:rsid w:val="00221D23"/>
    <w:rsid w:val="00221E8F"/>
    <w:rsid w:val="00222299"/>
    <w:rsid w:val="00224CC5"/>
    <w:rsid w:val="002254B6"/>
    <w:rsid w:val="00227791"/>
    <w:rsid w:val="00227D93"/>
    <w:rsid w:val="0023171F"/>
    <w:rsid w:val="00234F80"/>
    <w:rsid w:val="00234F95"/>
    <w:rsid w:val="00235DB0"/>
    <w:rsid w:val="002446AF"/>
    <w:rsid w:val="0024498F"/>
    <w:rsid w:val="00247BB2"/>
    <w:rsid w:val="00250478"/>
    <w:rsid w:val="00250B2B"/>
    <w:rsid w:val="002517F8"/>
    <w:rsid w:val="0025224D"/>
    <w:rsid w:val="00252BFB"/>
    <w:rsid w:val="00254EDF"/>
    <w:rsid w:val="002622FC"/>
    <w:rsid w:val="00262BFC"/>
    <w:rsid w:val="0026349C"/>
    <w:rsid w:val="0027004B"/>
    <w:rsid w:val="00270391"/>
    <w:rsid w:val="00275C88"/>
    <w:rsid w:val="00276542"/>
    <w:rsid w:val="00276B2C"/>
    <w:rsid w:val="00280E9D"/>
    <w:rsid w:val="00283037"/>
    <w:rsid w:val="002908E7"/>
    <w:rsid w:val="002935C3"/>
    <w:rsid w:val="00294E6C"/>
    <w:rsid w:val="0029600C"/>
    <w:rsid w:val="00297BA4"/>
    <w:rsid w:val="002A00CC"/>
    <w:rsid w:val="002A0129"/>
    <w:rsid w:val="002A0885"/>
    <w:rsid w:val="002A315C"/>
    <w:rsid w:val="002A50FF"/>
    <w:rsid w:val="002A5667"/>
    <w:rsid w:val="002A5F3C"/>
    <w:rsid w:val="002A6D6D"/>
    <w:rsid w:val="002A7551"/>
    <w:rsid w:val="002B07A0"/>
    <w:rsid w:val="002B12D7"/>
    <w:rsid w:val="002B15D3"/>
    <w:rsid w:val="002B2CE8"/>
    <w:rsid w:val="002B341C"/>
    <w:rsid w:val="002B3A87"/>
    <w:rsid w:val="002B3C04"/>
    <w:rsid w:val="002B78BF"/>
    <w:rsid w:val="002B79AD"/>
    <w:rsid w:val="002C27D6"/>
    <w:rsid w:val="002C4AC2"/>
    <w:rsid w:val="002D3F25"/>
    <w:rsid w:val="002D45AE"/>
    <w:rsid w:val="002D4A12"/>
    <w:rsid w:val="002D6517"/>
    <w:rsid w:val="002D750E"/>
    <w:rsid w:val="002E20F0"/>
    <w:rsid w:val="002E25D0"/>
    <w:rsid w:val="002E2D81"/>
    <w:rsid w:val="002E3ACB"/>
    <w:rsid w:val="002E536D"/>
    <w:rsid w:val="002F1C7E"/>
    <w:rsid w:val="00301575"/>
    <w:rsid w:val="00304E7C"/>
    <w:rsid w:val="0030579E"/>
    <w:rsid w:val="00306294"/>
    <w:rsid w:val="0030740B"/>
    <w:rsid w:val="00307630"/>
    <w:rsid w:val="003143B5"/>
    <w:rsid w:val="00317B75"/>
    <w:rsid w:val="00322481"/>
    <w:rsid w:val="00322CCB"/>
    <w:rsid w:val="00324B20"/>
    <w:rsid w:val="00326377"/>
    <w:rsid w:val="00331DA6"/>
    <w:rsid w:val="00331E33"/>
    <w:rsid w:val="0033560B"/>
    <w:rsid w:val="00337F19"/>
    <w:rsid w:val="0034505D"/>
    <w:rsid w:val="00345FBA"/>
    <w:rsid w:val="00346AFF"/>
    <w:rsid w:val="003503CB"/>
    <w:rsid w:val="00353179"/>
    <w:rsid w:val="00355DFA"/>
    <w:rsid w:val="00357DD3"/>
    <w:rsid w:val="00362CD4"/>
    <w:rsid w:val="0036479E"/>
    <w:rsid w:val="00366475"/>
    <w:rsid w:val="003673DF"/>
    <w:rsid w:val="003678B6"/>
    <w:rsid w:val="0037159F"/>
    <w:rsid w:val="00376C5C"/>
    <w:rsid w:val="003770FC"/>
    <w:rsid w:val="00383F1C"/>
    <w:rsid w:val="00385769"/>
    <w:rsid w:val="00387086"/>
    <w:rsid w:val="003870D6"/>
    <w:rsid w:val="0039011F"/>
    <w:rsid w:val="003905E2"/>
    <w:rsid w:val="00390DCD"/>
    <w:rsid w:val="00391B68"/>
    <w:rsid w:val="00391CBB"/>
    <w:rsid w:val="00391E37"/>
    <w:rsid w:val="00392413"/>
    <w:rsid w:val="00393B9C"/>
    <w:rsid w:val="00395B6A"/>
    <w:rsid w:val="003969E3"/>
    <w:rsid w:val="003A034F"/>
    <w:rsid w:val="003A0F84"/>
    <w:rsid w:val="003A1902"/>
    <w:rsid w:val="003A1A47"/>
    <w:rsid w:val="003A2D3A"/>
    <w:rsid w:val="003A689C"/>
    <w:rsid w:val="003B2526"/>
    <w:rsid w:val="003B294E"/>
    <w:rsid w:val="003B296F"/>
    <w:rsid w:val="003B4D66"/>
    <w:rsid w:val="003B5967"/>
    <w:rsid w:val="003B6F18"/>
    <w:rsid w:val="003B73D4"/>
    <w:rsid w:val="003B7508"/>
    <w:rsid w:val="003C0720"/>
    <w:rsid w:val="003C1F4A"/>
    <w:rsid w:val="003C2801"/>
    <w:rsid w:val="003C313F"/>
    <w:rsid w:val="003C3462"/>
    <w:rsid w:val="003C351F"/>
    <w:rsid w:val="003C5381"/>
    <w:rsid w:val="003C5436"/>
    <w:rsid w:val="003C6B41"/>
    <w:rsid w:val="003D0A9D"/>
    <w:rsid w:val="003D1D25"/>
    <w:rsid w:val="003D489F"/>
    <w:rsid w:val="003E0486"/>
    <w:rsid w:val="003E2A6F"/>
    <w:rsid w:val="003E633E"/>
    <w:rsid w:val="003E70E0"/>
    <w:rsid w:val="003F17AA"/>
    <w:rsid w:val="003F1C1D"/>
    <w:rsid w:val="003F36AB"/>
    <w:rsid w:val="003F426E"/>
    <w:rsid w:val="003F48F3"/>
    <w:rsid w:val="003F52D0"/>
    <w:rsid w:val="00401110"/>
    <w:rsid w:val="00402F85"/>
    <w:rsid w:val="0040360A"/>
    <w:rsid w:val="004040AA"/>
    <w:rsid w:val="00404E6B"/>
    <w:rsid w:val="0040517E"/>
    <w:rsid w:val="004061CB"/>
    <w:rsid w:val="00406B75"/>
    <w:rsid w:val="00407975"/>
    <w:rsid w:val="004106E5"/>
    <w:rsid w:val="0041170C"/>
    <w:rsid w:val="00412DA0"/>
    <w:rsid w:val="00412F64"/>
    <w:rsid w:val="0041428D"/>
    <w:rsid w:val="004166BE"/>
    <w:rsid w:val="00416F92"/>
    <w:rsid w:val="00420B33"/>
    <w:rsid w:val="00421031"/>
    <w:rsid w:val="00421FBB"/>
    <w:rsid w:val="004221BD"/>
    <w:rsid w:val="00423E25"/>
    <w:rsid w:val="004253D7"/>
    <w:rsid w:val="00426763"/>
    <w:rsid w:val="00431711"/>
    <w:rsid w:val="00432009"/>
    <w:rsid w:val="004322B0"/>
    <w:rsid w:val="00432E18"/>
    <w:rsid w:val="00433BAB"/>
    <w:rsid w:val="00435098"/>
    <w:rsid w:val="00435E68"/>
    <w:rsid w:val="00440770"/>
    <w:rsid w:val="0044148E"/>
    <w:rsid w:val="00445D16"/>
    <w:rsid w:val="004470B5"/>
    <w:rsid w:val="00447930"/>
    <w:rsid w:val="00447C33"/>
    <w:rsid w:val="004503F5"/>
    <w:rsid w:val="00450813"/>
    <w:rsid w:val="00454B3B"/>
    <w:rsid w:val="004565E2"/>
    <w:rsid w:val="00461308"/>
    <w:rsid w:val="00462934"/>
    <w:rsid w:val="00462C09"/>
    <w:rsid w:val="00463BD1"/>
    <w:rsid w:val="004648DF"/>
    <w:rsid w:val="004711E0"/>
    <w:rsid w:val="00471579"/>
    <w:rsid w:val="00472F24"/>
    <w:rsid w:val="00473FAB"/>
    <w:rsid w:val="00477340"/>
    <w:rsid w:val="00486962"/>
    <w:rsid w:val="00487211"/>
    <w:rsid w:val="004908A1"/>
    <w:rsid w:val="00493C67"/>
    <w:rsid w:val="00493D6D"/>
    <w:rsid w:val="00495290"/>
    <w:rsid w:val="00496858"/>
    <w:rsid w:val="00497F5F"/>
    <w:rsid w:val="004A580B"/>
    <w:rsid w:val="004A65FA"/>
    <w:rsid w:val="004A66C7"/>
    <w:rsid w:val="004A7C34"/>
    <w:rsid w:val="004A7D6B"/>
    <w:rsid w:val="004B3859"/>
    <w:rsid w:val="004B4199"/>
    <w:rsid w:val="004C2FA7"/>
    <w:rsid w:val="004C51DA"/>
    <w:rsid w:val="004C5D60"/>
    <w:rsid w:val="004C7CD7"/>
    <w:rsid w:val="004D4130"/>
    <w:rsid w:val="004E10D7"/>
    <w:rsid w:val="004E4E36"/>
    <w:rsid w:val="004E630A"/>
    <w:rsid w:val="004E6456"/>
    <w:rsid w:val="004F31B2"/>
    <w:rsid w:val="004F5693"/>
    <w:rsid w:val="004F7916"/>
    <w:rsid w:val="00500A51"/>
    <w:rsid w:val="00500D12"/>
    <w:rsid w:val="005021A6"/>
    <w:rsid w:val="00506851"/>
    <w:rsid w:val="005131D8"/>
    <w:rsid w:val="005140D2"/>
    <w:rsid w:val="005169CC"/>
    <w:rsid w:val="00517F60"/>
    <w:rsid w:val="005245C8"/>
    <w:rsid w:val="00524795"/>
    <w:rsid w:val="005263BB"/>
    <w:rsid w:val="005267B7"/>
    <w:rsid w:val="005314E5"/>
    <w:rsid w:val="00533321"/>
    <w:rsid w:val="00533AC6"/>
    <w:rsid w:val="005343FC"/>
    <w:rsid w:val="00534C1F"/>
    <w:rsid w:val="005350E3"/>
    <w:rsid w:val="00536A2C"/>
    <w:rsid w:val="005370BC"/>
    <w:rsid w:val="00543798"/>
    <w:rsid w:val="00545A31"/>
    <w:rsid w:val="00546094"/>
    <w:rsid w:val="005471EE"/>
    <w:rsid w:val="00547E79"/>
    <w:rsid w:val="00551ECA"/>
    <w:rsid w:val="00552CD9"/>
    <w:rsid w:val="00554904"/>
    <w:rsid w:val="0055546E"/>
    <w:rsid w:val="00564E37"/>
    <w:rsid w:val="00565434"/>
    <w:rsid w:val="005659D5"/>
    <w:rsid w:val="0057243F"/>
    <w:rsid w:val="00574984"/>
    <w:rsid w:val="0057797B"/>
    <w:rsid w:val="005805C0"/>
    <w:rsid w:val="0058065C"/>
    <w:rsid w:val="005855C1"/>
    <w:rsid w:val="0059503E"/>
    <w:rsid w:val="00596531"/>
    <w:rsid w:val="005973C8"/>
    <w:rsid w:val="005A0C19"/>
    <w:rsid w:val="005A1B91"/>
    <w:rsid w:val="005A2E33"/>
    <w:rsid w:val="005A3CD9"/>
    <w:rsid w:val="005A471B"/>
    <w:rsid w:val="005A5C6A"/>
    <w:rsid w:val="005A6E41"/>
    <w:rsid w:val="005A7354"/>
    <w:rsid w:val="005A7504"/>
    <w:rsid w:val="005B0A26"/>
    <w:rsid w:val="005B0D82"/>
    <w:rsid w:val="005B0DAC"/>
    <w:rsid w:val="005B2074"/>
    <w:rsid w:val="005B3935"/>
    <w:rsid w:val="005B70BF"/>
    <w:rsid w:val="005C0BCE"/>
    <w:rsid w:val="005C3144"/>
    <w:rsid w:val="005C5553"/>
    <w:rsid w:val="005C7A9F"/>
    <w:rsid w:val="005D0658"/>
    <w:rsid w:val="005D07DF"/>
    <w:rsid w:val="005D7422"/>
    <w:rsid w:val="005E076F"/>
    <w:rsid w:val="005E0D35"/>
    <w:rsid w:val="005E1D6F"/>
    <w:rsid w:val="005E2394"/>
    <w:rsid w:val="005E61B6"/>
    <w:rsid w:val="005F04F2"/>
    <w:rsid w:val="005F3A2B"/>
    <w:rsid w:val="005F555D"/>
    <w:rsid w:val="005F7E22"/>
    <w:rsid w:val="00601882"/>
    <w:rsid w:val="00601F86"/>
    <w:rsid w:val="00603477"/>
    <w:rsid w:val="00604B05"/>
    <w:rsid w:val="006079A6"/>
    <w:rsid w:val="00610D70"/>
    <w:rsid w:val="006134E1"/>
    <w:rsid w:val="00616CAB"/>
    <w:rsid w:val="00621997"/>
    <w:rsid w:val="00622C85"/>
    <w:rsid w:val="006233EF"/>
    <w:rsid w:val="00623E74"/>
    <w:rsid w:val="00626B36"/>
    <w:rsid w:val="006276CE"/>
    <w:rsid w:val="0063063F"/>
    <w:rsid w:val="00631390"/>
    <w:rsid w:val="00631ECB"/>
    <w:rsid w:val="00632C03"/>
    <w:rsid w:val="00634647"/>
    <w:rsid w:val="00636C6A"/>
    <w:rsid w:val="00640227"/>
    <w:rsid w:val="006432A2"/>
    <w:rsid w:val="00643DC0"/>
    <w:rsid w:val="00644303"/>
    <w:rsid w:val="00644B9B"/>
    <w:rsid w:val="00646185"/>
    <w:rsid w:val="00650A2D"/>
    <w:rsid w:val="0065110D"/>
    <w:rsid w:val="00654BFB"/>
    <w:rsid w:val="00660E2B"/>
    <w:rsid w:val="0066392C"/>
    <w:rsid w:val="00664EDB"/>
    <w:rsid w:val="00667E9F"/>
    <w:rsid w:val="00673CF8"/>
    <w:rsid w:val="0067448F"/>
    <w:rsid w:val="00680DC4"/>
    <w:rsid w:val="00683552"/>
    <w:rsid w:val="00685F3A"/>
    <w:rsid w:val="00687CF6"/>
    <w:rsid w:val="00693977"/>
    <w:rsid w:val="006A08AE"/>
    <w:rsid w:val="006A096A"/>
    <w:rsid w:val="006A1256"/>
    <w:rsid w:val="006A1B04"/>
    <w:rsid w:val="006A3F90"/>
    <w:rsid w:val="006A6433"/>
    <w:rsid w:val="006B0154"/>
    <w:rsid w:val="006B0AAA"/>
    <w:rsid w:val="006B125D"/>
    <w:rsid w:val="006B2A70"/>
    <w:rsid w:val="006C073C"/>
    <w:rsid w:val="006C1113"/>
    <w:rsid w:val="006C279E"/>
    <w:rsid w:val="006D1EC7"/>
    <w:rsid w:val="006E3349"/>
    <w:rsid w:val="006E5D00"/>
    <w:rsid w:val="006F060C"/>
    <w:rsid w:val="006F0754"/>
    <w:rsid w:val="006F0C8D"/>
    <w:rsid w:val="006F3495"/>
    <w:rsid w:val="006F44B6"/>
    <w:rsid w:val="006F7106"/>
    <w:rsid w:val="00703576"/>
    <w:rsid w:val="0070441C"/>
    <w:rsid w:val="007046ED"/>
    <w:rsid w:val="00704A70"/>
    <w:rsid w:val="00705536"/>
    <w:rsid w:val="00706818"/>
    <w:rsid w:val="0071038E"/>
    <w:rsid w:val="00710A5A"/>
    <w:rsid w:val="00713AD5"/>
    <w:rsid w:val="00714DC9"/>
    <w:rsid w:val="00716394"/>
    <w:rsid w:val="007176EF"/>
    <w:rsid w:val="00720002"/>
    <w:rsid w:val="00722748"/>
    <w:rsid w:val="007229CC"/>
    <w:rsid w:val="00723B6E"/>
    <w:rsid w:val="007249F9"/>
    <w:rsid w:val="0072682F"/>
    <w:rsid w:val="0072796C"/>
    <w:rsid w:val="00730B80"/>
    <w:rsid w:val="007312FC"/>
    <w:rsid w:val="007328D7"/>
    <w:rsid w:val="0073344E"/>
    <w:rsid w:val="00734379"/>
    <w:rsid w:val="007367FE"/>
    <w:rsid w:val="00741CEC"/>
    <w:rsid w:val="00741DFE"/>
    <w:rsid w:val="00742530"/>
    <w:rsid w:val="00743549"/>
    <w:rsid w:val="00747596"/>
    <w:rsid w:val="00750A64"/>
    <w:rsid w:val="00750EA6"/>
    <w:rsid w:val="00753214"/>
    <w:rsid w:val="007653F1"/>
    <w:rsid w:val="00765740"/>
    <w:rsid w:val="00767FEC"/>
    <w:rsid w:val="007702E6"/>
    <w:rsid w:val="007726AB"/>
    <w:rsid w:val="00773D98"/>
    <w:rsid w:val="007806BC"/>
    <w:rsid w:val="00780903"/>
    <w:rsid w:val="007811DD"/>
    <w:rsid w:val="0078224C"/>
    <w:rsid w:val="00782F7A"/>
    <w:rsid w:val="00783909"/>
    <w:rsid w:val="00783E15"/>
    <w:rsid w:val="0078440F"/>
    <w:rsid w:val="0078777A"/>
    <w:rsid w:val="007902A6"/>
    <w:rsid w:val="007909F7"/>
    <w:rsid w:val="007934BF"/>
    <w:rsid w:val="00794771"/>
    <w:rsid w:val="00794DAD"/>
    <w:rsid w:val="007959E2"/>
    <w:rsid w:val="00795A3F"/>
    <w:rsid w:val="00796509"/>
    <w:rsid w:val="0079792D"/>
    <w:rsid w:val="007A405F"/>
    <w:rsid w:val="007A633D"/>
    <w:rsid w:val="007A7412"/>
    <w:rsid w:val="007A7424"/>
    <w:rsid w:val="007B061A"/>
    <w:rsid w:val="007B2238"/>
    <w:rsid w:val="007B3637"/>
    <w:rsid w:val="007B517D"/>
    <w:rsid w:val="007B63A1"/>
    <w:rsid w:val="007B74B0"/>
    <w:rsid w:val="007B7E0C"/>
    <w:rsid w:val="007C149E"/>
    <w:rsid w:val="007C4D23"/>
    <w:rsid w:val="007C5E94"/>
    <w:rsid w:val="007C6C0E"/>
    <w:rsid w:val="007C6D80"/>
    <w:rsid w:val="007D30C2"/>
    <w:rsid w:val="007D3A3A"/>
    <w:rsid w:val="007D432D"/>
    <w:rsid w:val="007D4AAA"/>
    <w:rsid w:val="007D7561"/>
    <w:rsid w:val="007E19CB"/>
    <w:rsid w:val="007E24D8"/>
    <w:rsid w:val="007E5592"/>
    <w:rsid w:val="007E6D9A"/>
    <w:rsid w:val="007E7648"/>
    <w:rsid w:val="007E7885"/>
    <w:rsid w:val="007E7F77"/>
    <w:rsid w:val="007F16CA"/>
    <w:rsid w:val="007F1AB0"/>
    <w:rsid w:val="007F2C96"/>
    <w:rsid w:val="007F5497"/>
    <w:rsid w:val="00800541"/>
    <w:rsid w:val="008053C4"/>
    <w:rsid w:val="0080573F"/>
    <w:rsid w:val="00806BD1"/>
    <w:rsid w:val="0081133F"/>
    <w:rsid w:val="0081216F"/>
    <w:rsid w:val="00813342"/>
    <w:rsid w:val="008149BB"/>
    <w:rsid w:val="00814BE1"/>
    <w:rsid w:val="008155FA"/>
    <w:rsid w:val="008158F0"/>
    <w:rsid w:val="00815B91"/>
    <w:rsid w:val="00816DAC"/>
    <w:rsid w:val="008204B1"/>
    <w:rsid w:val="00820EF7"/>
    <w:rsid w:val="00824948"/>
    <w:rsid w:val="00826322"/>
    <w:rsid w:val="00830098"/>
    <w:rsid w:val="00830EFD"/>
    <w:rsid w:val="00831451"/>
    <w:rsid w:val="00831AC5"/>
    <w:rsid w:val="00831B44"/>
    <w:rsid w:val="00833B8F"/>
    <w:rsid w:val="00836613"/>
    <w:rsid w:val="00837A5D"/>
    <w:rsid w:val="00841020"/>
    <w:rsid w:val="00846514"/>
    <w:rsid w:val="00847D70"/>
    <w:rsid w:val="00850457"/>
    <w:rsid w:val="00855263"/>
    <w:rsid w:val="008571CA"/>
    <w:rsid w:val="008614F7"/>
    <w:rsid w:val="00861C24"/>
    <w:rsid w:val="00863F84"/>
    <w:rsid w:val="00864DE7"/>
    <w:rsid w:val="0086595F"/>
    <w:rsid w:val="0087197A"/>
    <w:rsid w:val="00872483"/>
    <w:rsid w:val="00872BDE"/>
    <w:rsid w:val="0087713A"/>
    <w:rsid w:val="00877C21"/>
    <w:rsid w:val="00877D06"/>
    <w:rsid w:val="00881AD9"/>
    <w:rsid w:val="00883204"/>
    <w:rsid w:val="00884C7D"/>
    <w:rsid w:val="00886090"/>
    <w:rsid w:val="00891512"/>
    <w:rsid w:val="00892B96"/>
    <w:rsid w:val="008A019C"/>
    <w:rsid w:val="008A4DAA"/>
    <w:rsid w:val="008A541E"/>
    <w:rsid w:val="008A7320"/>
    <w:rsid w:val="008B00BB"/>
    <w:rsid w:val="008B1676"/>
    <w:rsid w:val="008B1AAB"/>
    <w:rsid w:val="008B1F65"/>
    <w:rsid w:val="008B38A4"/>
    <w:rsid w:val="008B415B"/>
    <w:rsid w:val="008B61F4"/>
    <w:rsid w:val="008B6617"/>
    <w:rsid w:val="008C496C"/>
    <w:rsid w:val="008C49B7"/>
    <w:rsid w:val="008C562B"/>
    <w:rsid w:val="008C73B8"/>
    <w:rsid w:val="008D2D43"/>
    <w:rsid w:val="008E0261"/>
    <w:rsid w:val="008E0AE7"/>
    <w:rsid w:val="008E4DFA"/>
    <w:rsid w:val="008E7676"/>
    <w:rsid w:val="008F0420"/>
    <w:rsid w:val="008F14B5"/>
    <w:rsid w:val="008F1C1D"/>
    <w:rsid w:val="008F1E95"/>
    <w:rsid w:val="008F5F97"/>
    <w:rsid w:val="008F7EC1"/>
    <w:rsid w:val="0090233F"/>
    <w:rsid w:val="009028AB"/>
    <w:rsid w:val="00906102"/>
    <w:rsid w:val="00907D96"/>
    <w:rsid w:val="00910D81"/>
    <w:rsid w:val="0091196C"/>
    <w:rsid w:val="00912B23"/>
    <w:rsid w:val="00913023"/>
    <w:rsid w:val="009137BE"/>
    <w:rsid w:val="0091494C"/>
    <w:rsid w:val="00915BFE"/>
    <w:rsid w:val="00915D2F"/>
    <w:rsid w:val="00920C74"/>
    <w:rsid w:val="0092296A"/>
    <w:rsid w:val="00923A71"/>
    <w:rsid w:val="00923B6B"/>
    <w:rsid w:val="0092596B"/>
    <w:rsid w:val="00925C08"/>
    <w:rsid w:val="00926E2C"/>
    <w:rsid w:val="00927161"/>
    <w:rsid w:val="00930082"/>
    <w:rsid w:val="0093189B"/>
    <w:rsid w:val="00931E2C"/>
    <w:rsid w:val="00944C4C"/>
    <w:rsid w:val="0094545E"/>
    <w:rsid w:val="00945826"/>
    <w:rsid w:val="009463F7"/>
    <w:rsid w:val="00951384"/>
    <w:rsid w:val="009521C4"/>
    <w:rsid w:val="0095435E"/>
    <w:rsid w:val="00964DCF"/>
    <w:rsid w:val="00964F60"/>
    <w:rsid w:val="00967A07"/>
    <w:rsid w:val="00970111"/>
    <w:rsid w:val="00972334"/>
    <w:rsid w:val="00973085"/>
    <w:rsid w:val="00974B13"/>
    <w:rsid w:val="0097525E"/>
    <w:rsid w:val="00977F5C"/>
    <w:rsid w:val="009827FB"/>
    <w:rsid w:val="00983288"/>
    <w:rsid w:val="00983603"/>
    <w:rsid w:val="00984B7A"/>
    <w:rsid w:val="00985442"/>
    <w:rsid w:val="00986952"/>
    <w:rsid w:val="00987403"/>
    <w:rsid w:val="0098786F"/>
    <w:rsid w:val="00991AE3"/>
    <w:rsid w:val="009922F7"/>
    <w:rsid w:val="0099295E"/>
    <w:rsid w:val="00993281"/>
    <w:rsid w:val="00994D85"/>
    <w:rsid w:val="009963E7"/>
    <w:rsid w:val="009A1346"/>
    <w:rsid w:val="009A3896"/>
    <w:rsid w:val="009A3C91"/>
    <w:rsid w:val="009A4723"/>
    <w:rsid w:val="009A5DAC"/>
    <w:rsid w:val="009A730A"/>
    <w:rsid w:val="009B4637"/>
    <w:rsid w:val="009B7BE2"/>
    <w:rsid w:val="009C6B57"/>
    <w:rsid w:val="009C6B85"/>
    <w:rsid w:val="009D073C"/>
    <w:rsid w:val="009D0BD9"/>
    <w:rsid w:val="009D0E3A"/>
    <w:rsid w:val="009D1550"/>
    <w:rsid w:val="009D197A"/>
    <w:rsid w:val="009D49EB"/>
    <w:rsid w:val="009E21E8"/>
    <w:rsid w:val="009E725E"/>
    <w:rsid w:val="009E7412"/>
    <w:rsid w:val="009F1217"/>
    <w:rsid w:val="009F1761"/>
    <w:rsid w:val="009F3E7E"/>
    <w:rsid w:val="009F5ECB"/>
    <w:rsid w:val="00A03941"/>
    <w:rsid w:val="00A0504A"/>
    <w:rsid w:val="00A068E8"/>
    <w:rsid w:val="00A11A52"/>
    <w:rsid w:val="00A16C1D"/>
    <w:rsid w:val="00A207A1"/>
    <w:rsid w:val="00A2088F"/>
    <w:rsid w:val="00A22DFB"/>
    <w:rsid w:val="00A23DC8"/>
    <w:rsid w:val="00A26798"/>
    <w:rsid w:val="00A30349"/>
    <w:rsid w:val="00A31281"/>
    <w:rsid w:val="00A31FAF"/>
    <w:rsid w:val="00A322BE"/>
    <w:rsid w:val="00A341A2"/>
    <w:rsid w:val="00A419E0"/>
    <w:rsid w:val="00A43A5A"/>
    <w:rsid w:val="00A448CD"/>
    <w:rsid w:val="00A453DC"/>
    <w:rsid w:val="00A45C2E"/>
    <w:rsid w:val="00A45E33"/>
    <w:rsid w:val="00A50834"/>
    <w:rsid w:val="00A55439"/>
    <w:rsid w:val="00A57624"/>
    <w:rsid w:val="00A632E9"/>
    <w:rsid w:val="00A64A86"/>
    <w:rsid w:val="00A64AFB"/>
    <w:rsid w:val="00A66CD8"/>
    <w:rsid w:val="00A705F9"/>
    <w:rsid w:val="00A74797"/>
    <w:rsid w:val="00A803B8"/>
    <w:rsid w:val="00A8570E"/>
    <w:rsid w:val="00A905B1"/>
    <w:rsid w:val="00A90B42"/>
    <w:rsid w:val="00A9135F"/>
    <w:rsid w:val="00A91374"/>
    <w:rsid w:val="00A92574"/>
    <w:rsid w:val="00A93349"/>
    <w:rsid w:val="00A939FF"/>
    <w:rsid w:val="00A95E2D"/>
    <w:rsid w:val="00A96EA9"/>
    <w:rsid w:val="00AA003B"/>
    <w:rsid w:val="00AA00A0"/>
    <w:rsid w:val="00AA63A4"/>
    <w:rsid w:val="00AA67AE"/>
    <w:rsid w:val="00AA7E07"/>
    <w:rsid w:val="00AB0F60"/>
    <w:rsid w:val="00AB44FE"/>
    <w:rsid w:val="00AB7AD9"/>
    <w:rsid w:val="00AC17CB"/>
    <w:rsid w:val="00AC5997"/>
    <w:rsid w:val="00AC6CC7"/>
    <w:rsid w:val="00AC6F49"/>
    <w:rsid w:val="00AC71AA"/>
    <w:rsid w:val="00AD17FC"/>
    <w:rsid w:val="00AD3288"/>
    <w:rsid w:val="00AD4EDB"/>
    <w:rsid w:val="00AD518A"/>
    <w:rsid w:val="00AD59B8"/>
    <w:rsid w:val="00AD70DB"/>
    <w:rsid w:val="00AD72CA"/>
    <w:rsid w:val="00AE56E8"/>
    <w:rsid w:val="00AE6198"/>
    <w:rsid w:val="00AF59EE"/>
    <w:rsid w:val="00AF5CE5"/>
    <w:rsid w:val="00AF6230"/>
    <w:rsid w:val="00AF6C8E"/>
    <w:rsid w:val="00AF7029"/>
    <w:rsid w:val="00AF7095"/>
    <w:rsid w:val="00B032FD"/>
    <w:rsid w:val="00B04375"/>
    <w:rsid w:val="00B07F2E"/>
    <w:rsid w:val="00B10CD0"/>
    <w:rsid w:val="00B10DDF"/>
    <w:rsid w:val="00B1101D"/>
    <w:rsid w:val="00B1326E"/>
    <w:rsid w:val="00B163B3"/>
    <w:rsid w:val="00B16976"/>
    <w:rsid w:val="00B20C05"/>
    <w:rsid w:val="00B2478F"/>
    <w:rsid w:val="00B26FA5"/>
    <w:rsid w:val="00B3182A"/>
    <w:rsid w:val="00B33A4E"/>
    <w:rsid w:val="00B3707F"/>
    <w:rsid w:val="00B43265"/>
    <w:rsid w:val="00B51BD1"/>
    <w:rsid w:val="00B52D38"/>
    <w:rsid w:val="00B52E03"/>
    <w:rsid w:val="00B53264"/>
    <w:rsid w:val="00B549CE"/>
    <w:rsid w:val="00B55C1F"/>
    <w:rsid w:val="00B56285"/>
    <w:rsid w:val="00B57457"/>
    <w:rsid w:val="00B61205"/>
    <w:rsid w:val="00B631EA"/>
    <w:rsid w:val="00B63BB6"/>
    <w:rsid w:val="00B63D9B"/>
    <w:rsid w:val="00B70463"/>
    <w:rsid w:val="00B72484"/>
    <w:rsid w:val="00B739F1"/>
    <w:rsid w:val="00B73AF8"/>
    <w:rsid w:val="00B73E6C"/>
    <w:rsid w:val="00B8177F"/>
    <w:rsid w:val="00B82726"/>
    <w:rsid w:val="00B82B38"/>
    <w:rsid w:val="00B83B2D"/>
    <w:rsid w:val="00B84687"/>
    <w:rsid w:val="00B90CF0"/>
    <w:rsid w:val="00B9142F"/>
    <w:rsid w:val="00B923F6"/>
    <w:rsid w:val="00B95D6A"/>
    <w:rsid w:val="00B97BF3"/>
    <w:rsid w:val="00BA0D39"/>
    <w:rsid w:val="00BA578F"/>
    <w:rsid w:val="00BA5819"/>
    <w:rsid w:val="00BA59EB"/>
    <w:rsid w:val="00BA655B"/>
    <w:rsid w:val="00BA680F"/>
    <w:rsid w:val="00BA68DC"/>
    <w:rsid w:val="00BB054B"/>
    <w:rsid w:val="00BB2AD4"/>
    <w:rsid w:val="00BB2C13"/>
    <w:rsid w:val="00BB4CAC"/>
    <w:rsid w:val="00BD133A"/>
    <w:rsid w:val="00BD1DE0"/>
    <w:rsid w:val="00BD2BC5"/>
    <w:rsid w:val="00BD4D7B"/>
    <w:rsid w:val="00BD6D58"/>
    <w:rsid w:val="00BD7552"/>
    <w:rsid w:val="00BE026A"/>
    <w:rsid w:val="00BE0D7D"/>
    <w:rsid w:val="00BE3DB9"/>
    <w:rsid w:val="00BE5571"/>
    <w:rsid w:val="00BE5FC4"/>
    <w:rsid w:val="00BF0B01"/>
    <w:rsid w:val="00BF2FAB"/>
    <w:rsid w:val="00BF31CF"/>
    <w:rsid w:val="00BF3605"/>
    <w:rsid w:val="00BF42FE"/>
    <w:rsid w:val="00C00B41"/>
    <w:rsid w:val="00C010C5"/>
    <w:rsid w:val="00C014CA"/>
    <w:rsid w:val="00C05CD8"/>
    <w:rsid w:val="00C072EA"/>
    <w:rsid w:val="00C07D6B"/>
    <w:rsid w:val="00C101AF"/>
    <w:rsid w:val="00C13349"/>
    <w:rsid w:val="00C147DA"/>
    <w:rsid w:val="00C15F64"/>
    <w:rsid w:val="00C22209"/>
    <w:rsid w:val="00C22A1B"/>
    <w:rsid w:val="00C22B0B"/>
    <w:rsid w:val="00C22F2B"/>
    <w:rsid w:val="00C30B3B"/>
    <w:rsid w:val="00C31619"/>
    <w:rsid w:val="00C3183C"/>
    <w:rsid w:val="00C40D04"/>
    <w:rsid w:val="00C41B89"/>
    <w:rsid w:val="00C43022"/>
    <w:rsid w:val="00C443FF"/>
    <w:rsid w:val="00C45D00"/>
    <w:rsid w:val="00C45E3C"/>
    <w:rsid w:val="00C4720E"/>
    <w:rsid w:val="00C47F4F"/>
    <w:rsid w:val="00C5501C"/>
    <w:rsid w:val="00C56467"/>
    <w:rsid w:val="00C57D1B"/>
    <w:rsid w:val="00C61C38"/>
    <w:rsid w:val="00C6427D"/>
    <w:rsid w:val="00C718D4"/>
    <w:rsid w:val="00C736CF"/>
    <w:rsid w:val="00C74E32"/>
    <w:rsid w:val="00C761A1"/>
    <w:rsid w:val="00C77DFC"/>
    <w:rsid w:val="00C82C10"/>
    <w:rsid w:val="00C855C9"/>
    <w:rsid w:val="00C86416"/>
    <w:rsid w:val="00C86B17"/>
    <w:rsid w:val="00C91653"/>
    <w:rsid w:val="00C91F90"/>
    <w:rsid w:val="00C93451"/>
    <w:rsid w:val="00C962FC"/>
    <w:rsid w:val="00C97AEA"/>
    <w:rsid w:val="00CA0E8A"/>
    <w:rsid w:val="00CA1D4C"/>
    <w:rsid w:val="00CA5BAB"/>
    <w:rsid w:val="00CA6746"/>
    <w:rsid w:val="00CB0881"/>
    <w:rsid w:val="00CB1908"/>
    <w:rsid w:val="00CB2257"/>
    <w:rsid w:val="00CB4CCE"/>
    <w:rsid w:val="00CB61B2"/>
    <w:rsid w:val="00CC6DE5"/>
    <w:rsid w:val="00CD5A83"/>
    <w:rsid w:val="00CD6543"/>
    <w:rsid w:val="00CD77E8"/>
    <w:rsid w:val="00CE0E94"/>
    <w:rsid w:val="00CE18BE"/>
    <w:rsid w:val="00CE2570"/>
    <w:rsid w:val="00CE2830"/>
    <w:rsid w:val="00CE3933"/>
    <w:rsid w:val="00CE4F21"/>
    <w:rsid w:val="00CE5060"/>
    <w:rsid w:val="00CF0C0D"/>
    <w:rsid w:val="00CF2C4E"/>
    <w:rsid w:val="00CF2F66"/>
    <w:rsid w:val="00CF490E"/>
    <w:rsid w:val="00CF7259"/>
    <w:rsid w:val="00D042CE"/>
    <w:rsid w:val="00D04DE8"/>
    <w:rsid w:val="00D13575"/>
    <w:rsid w:val="00D13A9B"/>
    <w:rsid w:val="00D15177"/>
    <w:rsid w:val="00D17915"/>
    <w:rsid w:val="00D36719"/>
    <w:rsid w:val="00D41423"/>
    <w:rsid w:val="00D419F1"/>
    <w:rsid w:val="00D41CC8"/>
    <w:rsid w:val="00D440C3"/>
    <w:rsid w:val="00D45456"/>
    <w:rsid w:val="00D45C3E"/>
    <w:rsid w:val="00D52163"/>
    <w:rsid w:val="00D60C59"/>
    <w:rsid w:val="00D61087"/>
    <w:rsid w:val="00D61E72"/>
    <w:rsid w:val="00D62BA0"/>
    <w:rsid w:val="00D63436"/>
    <w:rsid w:val="00D6362F"/>
    <w:rsid w:val="00D71A81"/>
    <w:rsid w:val="00D771C5"/>
    <w:rsid w:val="00D77B99"/>
    <w:rsid w:val="00D80607"/>
    <w:rsid w:val="00D81489"/>
    <w:rsid w:val="00D83899"/>
    <w:rsid w:val="00D87A8D"/>
    <w:rsid w:val="00D9033A"/>
    <w:rsid w:val="00D90B81"/>
    <w:rsid w:val="00D919B1"/>
    <w:rsid w:val="00D9414D"/>
    <w:rsid w:val="00D94744"/>
    <w:rsid w:val="00D949F7"/>
    <w:rsid w:val="00D95137"/>
    <w:rsid w:val="00D96447"/>
    <w:rsid w:val="00D97A15"/>
    <w:rsid w:val="00DA0936"/>
    <w:rsid w:val="00DA2630"/>
    <w:rsid w:val="00DA3DCD"/>
    <w:rsid w:val="00DA4667"/>
    <w:rsid w:val="00DA4ADE"/>
    <w:rsid w:val="00DA6B50"/>
    <w:rsid w:val="00DB2F45"/>
    <w:rsid w:val="00DB378D"/>
    <w:rsid w:val="00DB3C81"/>
    <w:rsid w:val="00DB4338"/>
    <w:rsid w:val="00DB5D06"/>
    <w:rsid w:val="00DB6A4D"/>
    <w:rsid w:val="00DB6AF9"/>
    <w:rsid w:val="00DC1751"/>
    <w:rsid w:val="00DC3885"/>
    <w:rsid w:val="00DC390E"/>
    <w:rsid w:val="00DC3CD7"/>
    <w:rsid w:val="00DC6642"/>
    <w:rsid w:val="00DD3774"/>
    <w:rsid w:val="00DD4109"/>
    <w:rsid w:val="00DD4DDA"/>
    <w:rsid w:val="00DD62FB"/>
    <w:rsid w:val="00DD7A8B"/>
    <w:rsid w:val="00DE161C"/>
    <w:rsid w:val="00DE43C4"/>
    <w:rsid w:val="00DF31EE"/>
    <w:rsid w:val="00DF71E0"/>
    <w:rsid w:val="00E01E43"/>
    <w:rsid w:val="00E024B8"/>
    <w:rsid w:val="00E037A9"/>
    <w:rsid w:val="00E10309"/>
    <w:rsid w:val="00E11625"/>
    <w:rsid w:val="00E13408"/>
    <w:rsid w:val="00E134B4"/>
    <w:rsid w:val="00E13858"/>
    <w:rsid w:val="00E16C8E"/>
    <w:rsid w:val="00E16FAA"/>
    <w:rsid w:val="00E20D9A"/>
    <w:rsid w:val="00E25D20"/>
    <w:rsid w:val="00E263D2"/>
    <w:rsid w:val="00E27733"/>
    <w:rsid w:val="00E322DD"/>
    <w:rsid w:val="00E35879"/>
    <w:rsid w:val="00E360EC"/>
    <w:rsid w:val="00E36494"/>
    <w:rsid w:val="00E370FD"/>
    <w:rsid w:val="00E406D0"/>
    <w:rsid w:val="00E43027"/>
    <w:rsid w:val="00E43281"/>
    <w:rsid w:val="00E438F5"/>
    <w:rsid w:val="00E45487"/>
    <w:rsid w:val="00E45C33"/>
    <w:rsid w:val="00E45F1E"/>
    <w:rsid w:val="00E464A5"/>
    <w:rsid w:val="00E51BBF"/>
    <w:rsid w:val="00E51C15"/>
    <w:rsid w:val="00E53258"/>
    <w:rsid w:val="00E533E5"/>
    <w:rsid w:val="00E56FAB"/>
    <w:rsid w:val="00E623AE"/>
    <w:rsid w:val="00E643B1"/>
    <w:rsid w:val="00E643E7"/>
    <w:rsid w:val="00E75C0B"/>
    <w:rsid w:val="00E7681A"/>
    <w:rsid w:val="00E7731C"/>
    <w:rsid w:val="00E8017E"/>
    <w:rsid w:val="00E80B48"/>
    <w:rsid w:val="00E81CD4"/>
    <w:rsid w:val="00E83C34"/>
    <w:rsid w:val="00E862A4"/>
    <w:rsid w:val="00E92F05"/>
    <w:rsid w:val="00E94E62"/>
    <w:rsid w:val="00E95001"/>
    <w:rsid w:val="00EA05F9"/>
    <w:rsid w:val="00EA5317"/>
    <w:rsid w:val="00EA6542"/>
    <w:rsid w:val="00EA70A5"/>
    <w:rsid w:val="00EB05FE"/>
    <w:rsid w:val="00EB1CA1"/>
    <w:rsid w:val="00EB1D78"/>
    <w:rsid w:val="00EB291B"/>
    <w:rsid w:val="00EB2B53"/>
    <w:rsid w:val="00EB2BBA"/>
    <w:rsid w:val="00EB6730"/>
    <w:rsid w:val="00EC1AF4"/>
    <w:rsid w:val="00EC28B1"/>
    <w:rsid w:val="00EC3214"/>
    <w:rsid w:val="00EC53E1"/>
    <w:rsid w:val="00ED3405"/>
    <w:rsid w:val="00ED4A18"/>
    <w:rsid w:val="00ED6633"/>
    <w:rsid w:val="00EE5053"/>
    <w:rsid w:val="00EE6963"/>
    <w:rsid w:val="00EE769A"/>
    <w:rsid w:val="00EE7BB5"/>
    <w:rsid w:val="00EF3747"/>
    <w:rsid w:val="00EF537F"/>
    <w:rsid w:val="00EF5EAE"/>
    <w:rsid w:val="00EF6E18"/>
    <w:rsid w:val="00F0233D"/>
    <w:rsid w:val="00F02913"/>
    <w:rsid w:val="00F050D2"/>
    <w:rsid w:val="00F06638"/>
    <w:rsid w:val="00F12BB9"/>
    <w:rsid w:val="00F170AD"/>
    <w:rsid w:val="00F17C94"/>
    <w:rsid w:val="00F223B0"/>
    <w:rsid w:val="00F26651"/>
    <w:rsid w:val="00F31E5F"/>
    <w:rsid w:val="00F3348E"/>
    <w:rsid w:val="00F3365E"/>
    <w:rsid w:val="00F36A0F"/>
    <w:rsid w:val="00F42233"/>
    <w:rsid w:val="00F43B0A"/>
    <w:rsid w:val="00F4655F"/>
    <w:rsid w:val="00F46E46"/>
    <w:rsid w:val="00F50B19"/>
    <w:rsid w:val="00F53C53"/>
    <w:rsid w:val="00F571D9"/>
    <w:rsid w:val="00F603FB"/>
    <w:rsid w:val="00F62527"/>
    <w:rsid w:val="00F6519C"/>
    <w:rsid w:val="00F66920"/>
    <w:rsid w:val="00F66F6A"/>
    <w:rsid w:val="00F670B1"/>
    <w:rsid w:val="00F70A72"/>
    <w:rsid w:val="00F7141D"/>
    <w:rsid w:val="00F71B61"/>
    <w:rsid w:val="00F72C41"/>
    <w:rsid w:val="00F72F95"/>
    <w:rsid w:val="00F73442"/>
    <w:rsid w:val="00F74AF8"/>
    <w:rsid w:val="00F77007"/>
    <w:rsid w:val="00F806EC"/>
    <w:rsid w:val="00F83664"/>
    <w:rsid w:val="00F852D1"/>
    <w:rsid w:val="00F87225"/>
    <w:rsid w:val="00F9104B"/>
    <w:rsid w:val="00F920C1"/>
    <w:rsid w:val="00FA69F1"/>
    <w:rsid w:val="00FB0AF3"/>
    <w:rsid w:val="00FB5A01"/>
    <w:rsid w:val="00FB6BC1"/>
    <w:rsid w:val="00FC2B28"/>
    <w:rsid w:val="00FC5AD7"/>
    <w:rsid w:val="00FC6A44"/>
    <w:rsid w:val="00FD09E7"/>
    <w:rsid w:val="00FD0CFF"/>
    <w:rsid w:val="00FD1ADE"/>
    <w:rsid w:val="00FD2367"/>
    <w:rsid w:val="00FD3713"/>
    <w:rsid w:val="00FD6893"/>
    <w:rsid w:val="00FD7A0A"/>
    <w:rsid w:val="00FE01E3"/>
    <w:rsid w:val="00FE0331"/>
    <w:rsid w:val="00FE039A"/>
    <w:rsid w:val="00FE04DC"/>
    <w:rsid w:val="00FE3437"/>
    <w:rsid w:val="00FE3868"/>
    <w:rsid w:val="00FE3A46"/>
    <w:rsid w:val="00FE4BAD"/>
    <w:rsid w:val="00FE5F06"/>
    <w:rsid w:val="00FE6EBF"/>
    <w:rsid w:val="00FE7CA5"/>
    <w:rsid w:val="00FF24FB"/>
    <w:rsid w:val="00FF35C5"/>
    <w:rsid w:val="00FF433E"/>
    <w:rsid w:val="00FF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2DF9B"/>
  <w15:docId w15:val="{DC2A5E87-108C-4083-9DFC-DA0597A0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E0"/>
    <w:pPr>
      <w:spacing w:after="200"/>
    </w:pPr>
    <w:rPr>
      <w:sz w:val="24"/>
      <w:szCs w:val="24"/>
    </w:rPr>
  </w:style>
  <w:style w:type="paragraph" w:styleId="Heading1">
    <w:name w:val="heading 1"/>
    <w:basedOn w:val="Normal"/>
    <w:next w:val="Normal"/>
    <w:link w:val="Heading1Char"/>
    <w:uiPriority w:val="9"/>
    <w:qFormat/>
    <w:rsid w:val="003C072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C072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C072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R1">
    <w:name w:val="NPR 1"/>
    <w:basedOn w:val="Normal"/>
    <w:qFormat/>
    <w:rsid w:val="00660E2B"/>
    <w:pPr>
      <w:numPr>
        <w:numId w:val="3"/>
      </w:numPr>
      <w:outlineLvl w:val="0"/>
    </w:pPr>
    <w:rPr>
      <w:b/>
      <w:sz w:val="32"/>
    </w:rPr>
  </w:style>
  <w:style w:type="paragraph" w:customStyle="1" w:styleId="NPR2">
    <w:name w:val="NPR 2"/>
    <w:basedOn w:val="Normal"/>
    <w:qFormat/>
    <w:rsid w:val="00EA05F9"/>
    <w:pPr>
      <w:numPr>
        <w:ilvl w:val="1"/>
        <w:numId w:val="3"/>
      </w:numPr>
      <w:outlineLvl w:val="1"/>
    </w:pPr>
    <w:rPr>
      <w:b/>
      <w:sz w:val="28"/>
    </w:rPr>
  </w:style>
  <w:style w:type="paragraph" w:customStyle="1" w:styleId="NPR3">
    <w:name w:val="NPR 3"/>
    <w:basedOn w:val="NPR2"/>
    <w:qFormat/>
    <w:rsid w:val="00660E2B"/>
    <w:pPr>
      <w:numPr>
        <w:ilvl w:val="2"/>
      </w:numPr>
      <w:outlineLvl w:val="2"/>
    </w:pPr>
    <w:rPr>
      <w:b w:val="0"/>
      <w:sz w:val="24"/>
    </w:rPr>
  </w:style>
  <w:style w:type="paragraph" w:customStyle="1" w:styleId="NPR4">
    <w:name w:val="NPR 4"/>
    <w:basedOn w:val="NPR3"/>
    <w:qFormat/>
    <w:rsid w:val="00EA05F9"/>
    <w:pPr>
      <w:numPr>
        <w:ilvl w:val="3"/>
      </w:numPr>
      <w:outlineLvl w:val="3"/>
    </w:pPr>
  </w:style>
  <w:style w:type="numbering" w:customStyle="1" w:styleId="NPRList1">
    <w:name w:val="NPR List 1"/>
    <w:basedOn w:val="NoList"/>
    <w:uiPriority w:val="99"/>
    <w:rsid w:val="000B262A"/>
    <w:pPr>
      <w:numPr>
        <w:numId w:val="1"/>
      </w:numPr>
    </w:pPr>
  </w:style>
  <w:style w:type="paragraph" w:customStyle="1" w:styleId="NPRlist10">
    <w:name w:val="NPR list 1"/>
    <w:basedOn w:val="Normal"/>
    <w:qFormat/>
    <w:rsid w:val="00EA05F9"/>
    <w:pPr>
      <w:numPr>
        <w:numId w:val="2"/>
      </w:numPr>
    </w:pPr>
  </w:style>
  <w:style w:type="paragraph" w:customStyle="1" w:styleId="NPRlist2">
    <w:name w:val="NPR list 2"/>
    <w:basedOn w:val="NPRlist10"/>
    <w:qFormat/>
    <w:rsid w:val="005A6E41"/>
    <w:pPr>
      <w:numPr>
        <w:ilvl w:val="1"/>
      </w:numPr>
    </w:pPr>
  </w:style>
  <w:style w:type="paragraph" w:customStyle="1" w:styleId="NPRlist3">
    <w:name w:val="NPR list 3"/>
    <w:basedOn w:val="NPRlist2"/>
    <w:qFormat/>
    <w:rsid w:val="005A6E41"/>
    <w:pPr>
      <w:numPr>
        <w:ilvl w:val="2"/>
      </w:numPr>
    </w:pPr>
  </w:style>
  <w:style w:type="paragraph" w:customStyle="1" w:styleId="NPR5">
    <w:name w:val="NPR 5"/>
    <w:basedOn w:val="NPR4"/>
    <w:qFormat/>
    <w:rsid w:val="00EA05F9"/>
    <w:pPr>
      <w:numPr>
        <w:ilvl w:val="4"/>
      </w:numPr>
      <w:outlineLvl w:val="4"/>
    </w:pPr>
  </w:style>
  <w:style w:type="paragraph" w:styleId="Header">
    <w:name w:val="header"/>
    <w:basedOn w:val="Normal"/>
    <w:link w:val="HeaderChar"/>
    <w:unhideWhenUsed/>
    <w:rsid w:val="00F46E46"/>
    <w:pPr>
      <w:tabs>
        <w:tab w:val="center" w:pos="4680"/>
        <w:tab w:val="right" w:pos="9360"/>
      </w:tabs>
    </w:pPr>
  </w:style>
  <w:style w:type="character" w:customStyle="1" w:styleId="HeaderChar">
    <w:name w:val="Header Char"/>
    <w:link w:val="Header"/>
    <w:uiPriority w:val="99"/>
    <w:semiHidden/>
    <w:rsid w:val="00F46E46"/>
    <w:rPr>
      <w:sz w:val="24"/>
      <w:szCs w:val="24"/>
    </w:rPr>
  </w:style>
  <w:style w:type="paragraph" w:styleId="Footer">
    <w:name w:val="footer"/>
    <w:basedOn w:val="Normal"/>
    <w:link w:val="FooterChar"/>
    <w:uiPriority w:val="99"/>
    <w:unhideWhenUsed/>
    <w:rsid w:val="00F46E46"/>
    <w:pPr>
      <w:tabs>
        <w:tab w:val="center" w:pos="4680"/>
        <w:tab w:val="right" w:pos="9360"/>
      </w:tabs>
    </w:pPr>
  </w:style>
  <w:style w:type="character" w:customStyle="1" w:styleId="FooterChar">
    <w:name w:val="Footer Char"/>
    <w:link w:val="Footer"/>
    <w:uiPriority w:val="99"/>
    <w:rsid w:val="00F46E46"/>
    <w:rPr>
      <w:sz w:val="24"/>
      <w:szCs w:val="24"/>
    </w:rPr>
  </w:style>
  <w:style w:type="character" w:styleId="PageNumber">
    <w:name w:val="page number"/>
    <w:basedOn w:val="DefaultParagraphFont"/>
    <w:rsid w:val="00F46E46"/>
  </w:style>
  <w:style w:type="paragraph" w:styleId="BalloonText">
    <w:name w:val="Balloon Text"/>
    <w:basedOn w:val="Normal"/>
    <w:semiHidden/>
    <w:rsid w:val="002D3F25"/>
    <w:rPr>
      <w:rFonts w:ascii="Tahoma" w:hAnsi="Tahoma" w:cs="Tahoma"/>
      <w:sz w:val="16"/>
      <w:szCs w:val="16"/>
    </w:rPr>
  </w:style>
  <w:style w:type="character" w:styleId="CommentReference">
    <w:name w:val="annotation reference"/>
    <w:rsid w:val="00CB0881"/>
    <w:rPr>
      <w:sz w:val="16"/>
      <w:szCs w:val="16"/>
    </w:rPr>
  </w:style>
  <w:style w:type="paragraph" w:styleId="CommentText">
    <w:name w:val="annotation text"/>
    <w:basedOn w:val="Normal"/>
    <w:link w:val="CommentTextChar"/>
    <w:rsid w:val="00CB0881"/>
    <w:rPr>
      <w:sz w:val="20"/>
      <w:szCs w:val="20"/>
    </w:rPr>
  </w:style>
  <w:style w:type="paragraph" w:styleId="CommentSubject">
    <w:name w:val="annotation subject"/>
    <w:basedOn w:val="CommentText"/>
    <w:next w:val="CommentText"/>
    <w:semiHidden/>
    <w:rsid w:val="00CB0881"/>
    <w:rPr>
      <w:b/>
      <w:bCs/>
    </w:rPr>
  </w:style>
  <w:style w:type="character" w:customStyle="1" w:styleId="Heading1Char">
    <w:name w:val="Heading 1 Char"/>
    <w:link w:val="Heading1"/>
    <w:uiPriority w:val="9"/>
    <w:rsid w:val="003C072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C072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C0720"/>
    <w:rPr>
      <w:rFonts w:ascii="Cambria" w:eastAsia="Times New Roman" w:hAnsi="Cambria" w:cs="Times New Roman"/>
      <w:b/>
      <w:bCs/>
      <w:sz w:val="26"/>
      <w:szCs w:val="26"/>
    </w:rPr>
  </w:style>
  <w:style w:type="paragraph" w:styleId="TOC2">
    <w:name w:val="toc 2"/>
    <w:basedOn w:val="Normal"/>
    <w:next w:val="Normal"/>
    <w:autoRedefine/>
    <w:uiPriority w:val="39"/>
    <w:unhideWhenUsed/>
    <w:rsid w:val="00B51BD1"/>
    <w:pPr>
      <w:tabs>
        <w:tab w:val="right" w:leader="dot" w:pos="9350"/>
      </w:tabs>
      <w:spacing w:after="0"/>
    </w:pPr>
  </w:style>
  <w:style w:type="paragraph" w:styleId="TOC1">
    <w:name w:val="toc 1"/>
    <w:basedOn w:val="Normal"/>
    <w:next w:val="Normal"/>
    <w:autoRedefine/>
    <w:uiPriority w:val="39"/>
    <w:unhideWhenUsed/>
    <w:rsid w:val="00B51BD1"/>
    <w:pPr>
      <w:tabs>
        <w:tab w:val="right" w:leader="dot" w:pos="9350"/>
      </w:tabs>
      <w:spacing w:after="0"/>
    </w:pPr>
    <w:rPr>
      <w:b/>
      <w:sz w:val="32"/>
    </w:rPr>
  </w:style>
  <w:style w:type="character" w:styleId="Hyperlink">
    <w:name w:val="Hyperlink"/>
    <w:uiPriority w:val="99"/>
    <w:unhideWhenUsed/>
    <w:rsid w:val="003C0720"/>
    <w:rPr>
      <w:color w:val="0000FF"/>
      <w:u w:val="single"/>
    </w:rPr>
  </w:style>
  <w:style w:type="paragraph" w:styleId="TOC3">
    <w:name w:val="toc 3"/>
    <w:basedOn w:val="Normal"/>
    <w:next w:val="Normal"/>
    <w:autoRedefine/>
    <w:uiPriority w:val="39"/>
    <w:unhideWhenUsed/>
    <w:rsid w:val="003C0720"/>
    <w:pPr>
      <w:ind w:left="480"/>
    </w:pPr>
  </w:style>
  <w:style w:type="paragraph" w:styleId="TOC4">
    <w:name w:val="toc 4"/>
    <w:basedOn w:val="Normal"/>
    <w:next w:val="Normal"/>
    <w:autoRedefine/>
    <w:uiPriority w:val="39"/>
    <w:unhideWhenUsed/>
    <w:rsid w:val="003C0720"/>
    <w:pPr>
      <w:spacing w:after="100" w:line="276" w:lineRule="auto"/>
      <w:ind w:left="660"/>
    </w:pPr>
    <w:rPr>
      <w:rFonts w:ascii="Calibri" w:eastAsia="Times New Roman" w:hAnsi="Calibri"/>
      <w:sz w:val="22"/>
      <w:szCs w:val="22"/>
    </w:rPr>
  </w:style>
  <w:style w:type="paragraph" w:styleId="TOC5">
    <w:name w:val="toc 5"/>
    <w:basedOn w:val="Normal"/>
    <w:next w:val="Normal"/>
    <w:autoRedefine/>
    <w:uiPriority w:val="39"/>
    <w:unhideWhenUsed/>
    <w:rsid w:val="003C0720"/>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3C0720"/>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3C0720"/>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3C0720"/>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3C0720"/>
    <w:pPr>
      <w:spacing w:after="100" w:line="276" w:lineRule="auto"/>
      <w:ind w:left="1760"/>
    </w:pPr>
    <w:rPr>
      <w:rFonts w:ascii="Calibri" w:eastAsia="Times New Roman" w:hAnsi="Calibri"/>
      <w:sz w:val="22"/>
      <w:szCs w:val="22"/>
    </w:rPr>
  </w:style>
  <w:style w:type="paragraph" w:styleId="Revision">
    <w:name w:val="Revision"/>
    <w:hidden/>
    <w:uiPriority w:val="99"/>
    <w:semiHidden/>
    <w:rsid w:val="008149BB"/>
    <w:rPr>
      <w:sz w:val="24"/>
      <w:szCs w:val="24"/>
    </w:rPr>
  </w:style>
  <w:style w:type="paragraph" w:customStyle="1" w:styleId="Preface1">
    <w:name w:val="Preface 1"/>
    <w:basedOn w:val="Normal"/>
    <w:qFormat/>
    <w:rsid w:val="0087197A"/>
    <w:pPr>
      <w:tabs>
        <w:tab w:val="right" w:leader="dot" w:pos="9350"/>
      </w:tabs>
      <w:outlineLvl w:val="0"/>
    </w:pPr>
    <w:rPr>
      <w:b/>
      <w:noProof/>
      <w:sz w:val="28"/>
    </w:rPr>
  </w:style>
  <w:style w:type="paragraph" w:customStyle="1" w:styleId="Preface2">
    <w:name w:val="Preface 2"/>
    <w:basedOn w:val="Normal"/>
    <w:qFormat/>
    <w:rsid w:val="006F3495"/>
    <w:pPr>
      <w:numPr>
        <w:ilvl w:val="6"/>
        <w:numId w:val="4"/>
      </w:numPr>
      <w:ind w:left="0"/>
      <w:outlineLvl w:val="1"/>
    </w:pPr>
    <w:rPr>
      <w:b/>
    </w:rPr>
  </w:style>
  <w:style w:type="paragraph" w:customStyle="1" w:styleId="Appendix1">
    <w:name w:val="Appendix 1"/>
    <w:basedOn w:val="Normal"/>
    <w:qFormat/>
    <w:rsid w:val="009E7412"/>
    <w:pPr>
      <w:numPr>
        <w:ilvl w:val="7"/>
        <w:numId w:val="4"/>
      </w:numPr>
      <w:outlineLvl w:val="0"/>
    </w:pPr>
    <w:rPr>
      <w:b/>
      <w:sz w:val="32"/>
    </w:rPr>
  </w:style>
  <w:style w:type="paragraph" w:customStyle="1" w:styleId="Appendix2">
    <w:name w:val="Appendix 2"/>
    <w:basedOn w:val="Normal"/>
    <w:qFormat/>
    <w:rsid w:val="004711E0"/>
    <w:pPr>
      <w:numPr>
        <w:ilvl w:val="8"/>
        <w:numId w:val="4"/>
      </w:numPr>
    </w:pPr>
  </w:style>
  <w:style w:type="character" w:customStyle="1" w:styleId="CommentTextChar">
    <w:name w:val="Comment Text Char"/>
    <w:link w:val="CommentText"/>
    <w:rsid w:val="00E7731C"/>
  </w:style>
  <w:style w:type="numbering" w:customStyle="1" w:styleId="Style2">
    <w:name w:val="Style2"/>
    <w:uiPriority w:val="99"/>
    <w:rsid w:val="00E7731C"/>
    <w:pPr>
      <w:numPr>
        <w:numId w:val="5"/>
      </w:numPr>
    </w:pPr>
  </w:style>
  <w:style w:type="paragraph" w:styleId="NormalWeb">
    <w:name w:val="Normal (Web)"/>
    <w:basedOn w:val="Normal"/>
    <w:uiPriority w:val="99"/>
    <w:semiHidden/>
    <w:unhideWhenUsed/>
    <w:rsid w:val="00A43A5A"/>
    <w:pPr>
      <w:spacing w:before="100" w:beforeAutospacing="1" w:after="100" w:afterAutospacing="1"/>
    </w:pPr>
    <w:rPr>
      <w:rFonts w:eastAsia="Times New Roman"/>
    </w:rPr>
  </w:style>
  <w:style w:type="character" w:styleId="Emphasis">
    <w:name w:val="Emphasis"/>
    <w:basedOn w:val="DefaultParagraphFont"/>
    <w:uiPriority w:val="20"/>
    <w:qFormat/>
    <w:rsid w:val="00A43A5A"/>
    <w:rPr>
      <w:i/>
      <w:iCs/>
    </w:rPr>
  </w:style>
  <w:style w:type="paragraph" w:styleId="ListParagraph">
    <w:name w:val="List Paragraph"/>
    <w:basedOn w:val="Normal"/>
    <w:uiPriority w:val="34"/>
    <w:qFormat/>
    <w:rsid w:val="00FC5AD7"/>
    <w:pPr>
      <w:ind w:left="720"/>
      <w:contextualSpacing/>
    </w:pPr>
  </w:style>
  <w:style w:type="paragraph" w:customStyle="1" w:styleId="NPRa">
    <w:name w:val="NPR a."/>
    <w:basedOn w:val="ListParagraph"/>
    <w:link w:val="NPRaChar"/>
    <w:qFormat/>
    <w:rsid w:val="006F3495"/>
    <w:pPr>
      <w:numPr>
        <w:numId w:val="6"/>
      </w:numPr>
      <w:tabs>
        <w:tab w:val="left" w:pos="288"/>
      </w:tabs>
      <w:spacing w:before="120" w:after="120"/>
      <w:contextualSpacing w:val="0"/>
    </w:pPr>
    <w:rPr>
      <w:rFonts w:eastAsia="Times New Roman"/>
      <w:color w:val="000000"/>
    </w:rPr>
  </w:style>
  <w:style w:type="character" w:customStyle="1" w:styleId="StyleLatinTimesRoman12pt">
    <w:name w:val="Style (Latin) Times Roman 12 pt"/>
    <w:rsid w:val="006F3495"/>
    <w:rPr>
      <w:rFonts w:ascii="Times New Roman" w:hAnsi="Times New Roman" w:cs="Times New Roman" w:hint="default"/>
      <w:strike w:val="0"/>
      <w:dstrike w:val="0"/>
      <w:sz w:val="24"/>
      <w:u w:val="none"/>
      <w:effect w:val="none"/>
      <w:vertAlign w:val="baseline"/>
    </w:rPr>
  </w:style>
  <w:style w:type="character" w:customStyle="1" w:styleId="NPRaChar">
    <w:name w:val="NPR a. Char"/>
    <w:basedOn w:val="DefaultParagraphFont"/>
    <w:link w:val="NPRa"/>
    <w:rsid w:val="006F3495"/>
    <w:rPr>
      <w:rFonts w:eastAsia="Times New Roman"/>
      <w:color w:val="000000"/>
      <w:sz w:val="24"/>
      <w:szCs w:val="24"/>
    </w:rPr>
  </w:style>
  <w:style w:type="paragraph" w:customStyle="1" w:styleId="NPR11">
    <w:name w:val="NPR 1.1"/>
    <w:basedOn w:val="Heading2"/>
    <w:link w:val="NPR11Char"/>
    <w:qFormat/>
    <w:rsid w:val="006F3495"/>
    <w:pPr>
      <w:tabs>
        <w:tab w:val="left" w:pos="540"/>
      </w:tabs>
      <w:spacing w:before="120" w:after="120"/>
    </w:pPr>
    <w:rPr>
      <w:bCs w:val="0"/>
      <w:i w:val="0"/>
      <w:iCs w:val="0"/>
      <w:color w:val="000000"/>
      <w:sz w:val="24"/>
      <w:szCs w:val="24"/>
    </w:rPr>
  </w:style>
  <w:style w:type="paragraph" w:customStyle="1" w:styleId="NPR111">
    <w:name w:val="NPR 1.1.1"/>
    <w:basedOn w:val="ListParagraph"/>
    <w:link w:val="NPR111Char"/>
    <w:rsid w:val="006F3495"/>
    <w:pPr>
      <w:numPr>
        <w:numId w:val="7"/>
      </w:numPr>
      <w:spacing w:before="120" w:after="120"/>
    </w:pPr>
    <w:rPr>
      <w:rFonts w:eastAsia="Times New Roman"/>
      <w:color w:val="000000"/>
    </w:rPr>
  </w:style>
  <w:style w:type="character" w:customStyle="1" w:styleId="NPR11Char">
    <w:name w:val="NPR 1.1 Char"/>
    <w:basedOn w:val="Heading2Char"/>
    <w:link w:val="NPR11"/>
    <w:rsid w:val="006F3495"/>
    <w:rPr>
      <w:rFonts w:ascii="Cambria" w:eastAsia="Times New Roman" w:hAnsi="Cambria" w:cs="Times New Roman"/>
      <w:b/>
      <w:bCs w:val="0"/>
      <w:i w:val="0"/>
      <w:iCs w:val="0"/>
      <w:color w:val="000000"/>
      <w:sz w:val="24"/>
      <w:szCs w:val="24"/>
    </w:rPr>
  </w:style>
  <w:style w:type="character" w:customStyle="1" w:styleId="NPR111Char">
    <w:name w:val="NPR 1.1.1 Char"/>
    <w:basedOn w:val="DefaultParagraphFont"/>
    <w:link w:val="NPR111"/>
    <w:rsid w:val="006F3495"/>
    <w:rPr>
      <w:rFonts w:eastAsia="Times New Roman"/>
      <w:color w:val="000000"/>
      <w:sz w:val="24"/>
      <w:szCs w:val="24"/>
    </w:rPr>
  </w:style>
  <w:style w:type="paragraph" w:styleId="FootnoteText">
    <w:name w:val="footnote text"/>
    <w:basedOn w:val="Normal"/>
    <w:link w:val="FootnoteTextChar"/>
    <w:uiPriority w:val="99"/>
    <w:semiHidden/>
    <w:unhideWhenUsed/>
    <w:rsid w:val="006F3495"/>
    <w:pPr>
      <w:spacing w:after="0"/>
    </w:pPr>
    <w:rPr>
      <w:rFonts w:eastAsia="Times New Roman"/>
      <w:color w:val="000000"/>
      <w:sz w:val="20"/>
      <w:szCs w:val="20"/>
    </w:rPr>
  </w:style>
  <w:style w:type="character" w:customStyle="1" w:styleId="FootnoteTextChar">
    <w:name w:val="Footnote Text Char"/>
    <w:basedOn w:val="DefaultParagraphFont"/>
    <w:link w:val="FootnoteText"/>
    <w:uiPriority w:val="99"/>
    <w:semiHidden/>
    <w:rsid w:val="006F3495"/>
    <w:rPr>
      <w:rFonts w:eastAsia="Times New Roman"/>
      <w:color w:val="000000"/>
    </w:rPr>
  </w:style>
  <w:style w:type="character" w:styleId="FootnoteReference">
    <w:name w:val="footnote reference"/>
    <w:basedOn w:val="DefaultParagraphFont"/>
    <w:uiPriority w:val="99"/>
    <w:semiHidden/>
    <w:unhideWhenUsed/>
    <w:rsid w:val="006F3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0464">
      <w:bodyDiv w:val="1"/>
      <w:marLeft w:val="0"/>
      <w:marRight w:val="0"/>
      <w:marTop w:val="0"/>
      <w:marBottom w:val="0"/>
      <w:divBdr>
        <w:top w:val="none" w:sz="0" w:space="0" w:color="auto"/>
        <w:left w:val="none" w:sz="0" w:space="0" w:color="auto"/>
        <w:bottom w:val="none" w:sz="0" w:space="0" w:color="auto"/>
        <w:right w:val="none" w:sz="0" w:space="0" w:color="auto"/>
      </w:divBdr>
    </w:div>
    <w:div w:id="630945553">
      <w:bodyDiv w:val="1"/>
      <w:marLeft w:val="0"/>
      <w:marRight w:val="0"/>
      <w:marTop w:val="0"/>
      <w:marBottom w:val="0"/>
      <w:divBdr>
        <w:top w:val="none" w:sz="0" w:space="0" w:color="auto"/>
        <w:left w:val="none" w:sz="0" w:space="0" w:color="auto"/>
        <w:bottom w:val="none" w:sz="0" w:space="0" w:color="auto"/>
        <w:right w:val="none" w:sz="0" w:space="0" w:color="auto"/>
      </w:divBdr>
    </w:div>
    <w:div w:id="694115466">
      <w:bodyDiv w:val="1"/>
      <w:marLeft w:val="0"/>
      <w:marRight w:val="0"/>
      <w:marTop w:val="0"/>
      <w:marBottom w:val="0"/>
      <w:divBdr>
        <w:top w:val="none" w:sz="0" w:space="0" w:color="auto"/>
        <w:left w:val="none" w:sz="0" w:space="0" w:color="auto"/>
        <w:bottom w:val="none" w:sz="0" w:space="0" w:color="auto"/>
        <w:right w:val="none" w:sz="0" w:space="0" w:color="auto"/>
      </w:divBdr>
    </w:div>
    <w:div w:id="861938732">
      <w:bodyDiv w:val="1"/>
      <w:marLeft w:val="0"/>
      <w:marRight w:val="0"/>
      <w:marTop w:val="0"/>
      <w:marBottom w:val="0"/>
      <w:divBdr>
        <w:top w:val="none" w:sz="0" w:space="0" w:color="auto"/>
        <w:left w:val="none" w:sz="0" w:space="0" w:color="auto"/>
        <w:bottom w:val="none" w:sz="0" w:space="0" w:color="auto"/>
        <w:right w:val="none" w:sz="0" w:space="0" w:color="auto"/>
      </w:divBdr>
    </w:div>
    <w:div w:id="1181630072">
      <w:bodyDiv w:val="1"/>
      <w:marLeft w:val="0"/>
      <w:marRight w:val="0"/>
      <w:marTop w:val="0"/>
      <w:marBottom w:val="0"/>
      <w:divBdr>
        <w:top w:val="none" w:sz="0" w:space="0" w:color="auto"/>
        <w:left w:val="none" w:sz="0" w:space="0" w:color="auto"/>
        <w:bottom w:val="none" w:sz="0" w:space="0" w:color="auto"/>
        <w:right w:val="none" w:sz="0" w:space="0" w:color="auto"/>
      </w:divBdr>
    </w:div>
    <w:div w:id="1267275570">
      <w:bodyDiv w:val="1"/>
      <w:marLeft w:val="0"/>
      <w:marRight w:val="0"/>
      <w:marTop w:val="0"/>
      <w:marBottom w:val="0"/>
      <w:divBdr>
        <w:top w:val="none" w:sz="0" w:space="0" w:color="auto"/>
        <w:left w:val="none" w:sz="0" w:space="0" w:color="auto"/>
        <w:bottom w:val="none" w:sz="0" w:space="0" w:color="auto"/>
        <w:right w:val="none" w:sz="0" w:space="0" w:color="auto"/>
      </w:divBdr>
    </w:div>
    <w:div w:id="1914656595">
      <w:bodyDiv w:val="1"/>
      <w:marLeft w:val="0"/>
      <w:marRight w:val="0"/>
      <w:marTop w:val="0"/>
      <w:marBottom w:val="0"/>
      <w:divBdr>
        <w:top w:val="none" w:sz="0" w:space="0" w:color="auto"/>
        <w:left w:val="none" w:sz="0" w:space="0" w:color="auto"/>
        <w:bottom w:val="none" w:sz="0" w:space="0" w:color="auto"/>
        <w:right w:val="none" w:sz="0" w:space="0" w:color="auto"/>
      </w:divBdr>
    </w:div>
    <w:div w:id="20944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nry\Application%20Data\Microsoft\Templates\NP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BA60-9F70-4582-9A08-E9B05AF4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 Format</Template>
  <TotalTime>34</TotalTime>
  <Pages>12</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NASA Procedural Requirement</vt:lpstr>
    </vt:vector>
  </TitlesOfParts>
  <Company>HP</Company>
  <LinksUpToDate>false</LinksUpToDate>
  <CharactersWithSpaces>23177</CharactersWithSpaces>
  <SharedDoc>false</SharedDoc>
  <HLinks>
    <vt:vector size="330" baseType="variant">
      <vt:variant>
        <vt:i4>1179699</vt:i4>
      </vt:variant>
      <vt:variant>
        <vt:i4>326</vt:i4>
      </vt:variant>
      <vt:variant>
        <vt:i4>0</vt:i4>
      </vt:variant>
      <vt:variant>
        <vt:i4>5</vt:i4>
      </vt:variant>
      <vt:variant>
        <vt:lpwstr/>
      </vt:variant>
      <vt:variant>
        <vt:lpwstr>_Toc385328766</vt:lpwstr>
      </vt:variant>
      <vt:variant>
        <vt:i4>1179699</vt:i4>
      </vt:variant>
      <vt:variant>
        <vt:i4>320</vt:i4>
      </vt:variant>
      <vt:variant>
        <vt:i4>0</vt:i4>
      </vt:variant>
      <vt:variant>
        <vt:i4>5</vt:i4>
      </vt:variant>
      <vt:variant>
        <vt:lpwstr/>
      </vt:variant>
      <vt:variant>
        <vt:lpwstr>_Toc385328765</vt:lpwstr>
      </vt:variant>
      <vt:variant>
        <vt:i4>1179699</vt:i4>
      </vt:variant>
      <vt:variant>
        <vt:i4>314</vt:i4>
      </vt:variant>
      <vt:variant>
        <vt:i4>0</vt:i4>
      </vt:variant>
      <vt:variant>
        <vt:i4>5</vt:i4>
      </vt:variant>
      <vt:variant>
        <vt:lpwstr/>
      </vt:variant>
      <vt:variant>
        <vt:lpwstr>_Toc385328764</vt:lpwstr>
      </vt:variant>
      <vt:variant>
        <vt:i4>1179699</vt:i4>
      </vt:variant>
      <vt:variant>
        <vt:i4>308</vt:i4>
      </vt:variant>
      <vt:variant>
        <vt:i4>0</vt:i4>
      </vt:variant>
      <vt:variant>
        <vt:i4>5</vt:i4>
      </vt:variant>
      <vt:variant>
        <vt:lpwstr/>
      </vt:variant>
      <vt:variant>
        <vt:lpwstr>_Toc385328763</vt:lpwstr>
      </vt:variant>
      <vt:variant>
        <vt:i4>1179699</vt:i4>
      </vt:variant>
      <vt:variant>
        <vt:i4>302</vt:i4>
      </vt:variant>
      <vt:variant>
        <vt:i4>0</vt:i4>
      </vt:variant>
      <vt:variant>
        <vt:i4>5</vt:i4>
      </vt:variant>
      <vt:variant>
        <vt:lpwstr/>
      </vt:variant>
      <vt:variant>
        <vt:lpwstr>_Toc385328762</vt:lpwstr>
      </vt:variant>
      <vt:variant>
        <vt:i4>1179699</vt:i4>
      </vt:variant>
      <vt:variant>
        <vt:i4>296</vt:i4>
      </vt:variant>
      <vt:variant>
        <vt:i4>0</vt:i4>
      </vt:variant>
      <vt:variant>
        <vt:i4>5</vt:i4>
      </vt:variant>
      <vt:variant>
        <vt:lpwstr/>
      </vt:variant>
      <vt:variant>
        <vt:lpwstr>_Toc385328761</vt:lpwstr>
      </vt:variant>
      <vt:variant>
        <vt:i4>1179699</vt:i4>
      </vt:variant>
      <vt:variant>
        <vt:i4>290</vt:i4>
      </vt:variant>
      <vt:variant>
        <vt:i4>0</vt:i4>
      </vt:variant>
      <vt:variant>
        <vt:i4>5</vt:i4>
      </vt:variant>
      <vt:variant>
        <vt:lpwstr/>
      </vt:variant>
      <vt:variant>
        <vt:lpwstr>_Toc385328760</vt:lpwstr>
      </vt:variant>
      <vt:variant>
        <vt:i4>1114163</vt:i4>
      </vt:variant>
      <vt:variant>
        <vt:i4>284</vt:i4>
      </vt:variant>
      <vt:variant>
        <vt:i4>0</vt:i4>
      </vt:variant>
      <vt:variant>
        <vt:i4>5</vt:i4>
      </vt:variant>
      <vt:variant>
        <vt:lpwstr/>
      </vt:variant>
      <vt:variant>
        <vt:lpwstr>_Toc385328759</vt:lpwstr>
      </vt:variant>
      <vt:variant>
        <vt:i4>1114163</vt:i4>
      </vt:variant>
      <vt:variant>
        <vt:i4>278</vt:i4>
      </vt:variant>
      <vt:variant>
        <vt:i4>0</vt:i4>
      </vt:variant>
      <vt:variant>
        <vt:i4>5</vt:i4>
      </vt:variant>
      <vt:variant>
        <vt:lpwstr/>
      </vt:variant>
      <vt:variant>
        <vt:lpwstr>_Toc385328758</vt:lpwstr>
      </vt:variant>
      <vt:variant>
        <vt:i4>1114163</vt:i4>
      </vt:variant>
      <vt:variant>
        <vt:i4>272</vt:i4>
      </vt:variant>
      <vt:variant>
        <vt:i4>0</vt:i4>
      </vt:variant>
      <vt:variant>
        <vt:i4>5</vt:i4>
      </vt:variant>
      <vt:variant>
        <vt:lpwstr/>
      </vt:variant>
      <vt:variant>
        <vt:lpwstr>_Toc385328757</vt:lpwstr>
      </vt:variant>
      <vt:variant>
        <vt:i4>1114163</vt:i4>
      </vt:variant>
      <vt:variant>
        <vt:i4>266</vt:i4>
      </vt:variant>
      <vt:variant>
        <vt:i4>0</vt:i4>
      </vt:variant>
      <vt:variant>
        <vt:i4>5</vt:i4>
      </vt:variant>
      <vt:variant>
        <vt:lpwstr/>
      </vt:variant>
      <vt:variant>
        <vt:lpwstr>_Toc385328756</vt:lpwstr>
      </vt:variant>
      <vt:variant>
        <vt:i4>1114163</vt:i4>
      </vt:variant>
      <vt:variant>
        <vt:i4>260</vt:i4>
      </vt:variant>
      <vt:variant>
        <vt:i4>0</vt:i4>
      </vt:variant>
      <vt:variant>
        <vt:i4>5</vt:i4>
      </vt:variant>
      <vt:variant>
        <vt:lpwstr/>
      </vt:variant>
      <vt:variant>
        <vt:lpwstr>_Toc385328755</vt:lpwstr>
      </vt:variant>
      <vt:variant>
        <vt:i4>1114163</vt:i4>
      </vt:variant>
      <vt:variant>
        <vt:i4>254</vt:i4>
      </vt:variant>
      <vt:variant>
        <vt:i4>0</vt:i4>
      </vt:variant>
      <vt:variant>
        <vt:i4>5</vt:i4>
      </vt:variant>
      <vt:variant>
        <vt:lpwstr/>
      </vt:variant>
      <vt:variant>
        <vt:lpwstr>_Toc385328754</vt:lpwstr>
      </vt:variant>
      <vt:variant>
        <vt:i4>1114163</vt:i4>
      </vt:variant>
      <vt:variant>
        <vt:i4>248</vt:i4>
      </vt:variant>
      <vt:variant>
        <vt:i4>0</vt:i4>
      </vt:variant>
      <vt:variant>
        <vt:i4>5</vt:i4>
      </vt:variant>
      <vt:variant>
        <vt:lpwstr/>
      </vt:variant>
      <vt:variant>
        <vt:lpwstr>_Toc385328753</vt:lpwstr>
      </vt:variant>
      <vt:variant>
        <vt:i4>1114163</vt:i4>
      </vt:variant>
      <vt:variant>
        <vt:i4>242</vt:i4>
      </vt:variant>
      <vt:variant>
        <vt:i4>0</vt:i4>
      </vt:variant>
      <vt:variant>
        <vt:i4>5</vt:i4>
      </vt:variant>
      <vt:variant>
        <vt:lpwstr/>
      </vt:variant>
      <vt:variant>
        <vt:lpwstr>_Toc385328752</vt:lpwstr>
      </vt:variant>
      <vt:variant>
        <vt:i4>1114163</vt:i4>
      </vt:variant>
      <vt:variant>
        <vt:i4>236</vt:i4>
      </vt:variant>
      <vt:variant>
        <vt:i4>0</vt:i4>
      </vt:variant>
      <vt:variant>
        <vt:i4>5</vt:i4>
      </vt:variant>
      <vt:variant>
        <vt:lpwstr/>
      </vt:variant>
      <vt:variant>
        <vt:lpwstr>_Toc385328751</vt:lpwstr>
      </vt:variant>
      <vt:variant>
        <vt:i4>1114163</vt:i4>
      </vt:variant>
      <vt:variant>
        <vt:i4>230</vt:i4>
      </vt:variant>
      <vt:variant>
        <vt:i4>0</vt:i4>
      </vt:variant>
      <vt:variant>
        <vt:i4>5</vt:i4>
      </vt:variant>
      <vt:variant>
        <vt:lpwstr/>
      </vt:variant>
      <vt:variant>
        <vt:lpwstr>_Toc385328750</vt:lpwstr>
      </vt:variant>
      <vt:variant>
        <vt:i4>1048627</vt:i4>
      </vt:variant>
      <vt:variant>
        <vt:i4>224</vt:i4>
      </vt:variant>
      <vt:variant>
        <vt:i4>0</vt:i4>
      </vt:variant>
      <vt:variant>
        <vt:i4>5</vt:i4>
      </vt:variant>
      <vt:variant>
        <vt:lpwstr/>
      </vt:variant>
      <vt:variant>
        <vt:lpwstr>_Toc385328749</vt:lpwstr>
      </vt:variant>
      <vt:variant>
        <vt:i4>1048627</vt:i4>
      </vt:variant>
      <vt:variant>
        <vt:i4>218</vt:i4>
      </vt:variant>
      <vt:variant>
        <vt:i4>0</vt:i4>
      </vt:variant>
      <vt:variant>
        <vt:i4>5</vt:i4>
      </vt:variant>
      <vt:variant>
        <vt:lpwstr/>
      </vt:variant>
      <vt:variant>
        <vt:lpwstr>_Toc385328748</vt:lpwstr>
      </vt:variant>
      <vt:variant>
        <vt:i4>1048627</vt:i4>
      </vt:variant>
      <vt:variant>
        <vt:i4>212</vt:i4>
      </vt:variant>
      <vt:variant>
        <vt:i4>0</vt:i4>
      </vt:variant>
      <vt:variant>
        <vt:i4>5</vt:i4>
      </vt:variant>
      <vt:variant>
        <vt:lpwstr/>
      </vt:variant>
      <vt:variant>
        <vt:lpwstr>_Toc385328747</vt:lpwstr>
      </vt:variant>
      <vt:variant>
        <vt:i4>1048627</vt:i4>
      </vt:variant>
      <vt:variant>
        <vt:i4>206</vt:i4>
      </vt:variant>
      <vt:variant>
        <vt:i4>0</vt:i4>
      </vt:variant>
      <vt:variant>
        <vt:i4>5</vt:i4>
      </vt:variant>
      <vt:variant>
        <vt:lpwstr/>
      </vt:variant>
      <vt:variant>
        <vt:lpwstr>_Toc385328746</vt:lpwstr>
      </vt:variant>
      <vt:variant>
        <vt:i4>1048627</vt:i4>
      </vt:variant>
      <vt:variant>
        <vt:i4>200</vt:i4>
      </vt:variant>
      <vt:variant>
        <vt:i4>0</vt:i4>
      </vt:variant>
      <vt:variant>
        <vt:i4>5</vt:i4>
      </vt:variant>
      <vt:variant>
        <vt:lpwstr/>
      </vt:variant>
      <vt:variant>
        <vt:lpwstr>_Toc385328745</vt:lpwstr>
      </vt:variant>
      <vt:variant>
        <vt:i4>1048627</vt:i4>
      </vt:variant>
      <vt:variant>
        <vt:i4>194</vt:i4>
      </vt:variant>
      <vt:variant>
        <vt:i4>0</vt:i4>
      </vt:variant>
      <vt:variant>
        <vt:i4>5</vt:i4>
      </vt:variant>
      <vt:variant>
        <vt:lpwstr/>
      </vt:variant>
      <vt:variant>
        <vt:lpwstr>_Toc385328744</vt:lpwstr>
      </vt:variant>
      <vt:variant>
        <vt:i4>1048627</vt:i4>
      </vt:variant>
      <vt:variant>
        <vt:i4>188</vt:i4>
      </vt:variant>
      <vt:variant>
        <vt:i4>0</vt:i4>
      </vt:variant>
      <vt:variant>
        <vt:i4>5</vt:i4>
      </vt:variant>
      <vt:variant>
        <vt:lpwstr/>
      </vt:variant>
      <vt:variant>
        <vt:lpwstr>_Toc385328743</vt:lpwstr>
      </vt:variant>
      <vt:variant>
        <vt:i4>1048627</vt:i4>
      </vt:variant>
      <vt:variant>
        <vt:i4>182</vt:i4>
      </vt:variant>
      <vt:variant>
        <vt:i4>0</vt:i4>
      </vt:variant>
      <vt:variant>
        <vt:i4>5</vt:i4>
      </vt:variant>
      <vt:variant>
        <vt:lpwstr/>
      </vt:variant>
      <vt:variant>
        <vt:lpwstr>_Toc385328742</vt:lpwstr>
      </vt:variant>
      <vt:variant>
        <vt:i4>1048627</vt:i4>
      </vt:variant>
      <vt:variant>
        <vt:i4>176</vt:i4>
      </vt:variant>
      <vt:variant>
        <vt:i4>0</vt:i4>
      </vt:variant>
      <vt:variant>
        <vt:i4>5</vt:i4>
      </vt:variant>
      <vt:variant>
        <vt:lpwstr/>
      </vt:variant>
      <vt:variant>
        <vt:lpwstr>_Toc385328741</vt:lpwstr>
      </vt:variant>
      <vt:variant>
        <vt:i4>1048627</vt:i4>
      </vt:variant>
      <vt:variant>
        <vt:i4>170</vt:i4>
      </vt:variant>
      <vt:variant>
        <vt:i4>0</vt:i4>
      </vt:variant>
      <vt:variant>
        <vt:i4>5</vt:i4>
      </vt:variant>
      <vt:variant>
        <vt:lpwstr/>
      </vt:variant>
      <vt:variant>
        <vt:lpwstr>_Toc385328740</vt:lpwstr>
      </vt:variant>
      <vt:variant>
        <vt:i4>1507379</vt:i4>
      </vt:variant>
      <vt:variant>
        <vt:i4>164</vt:i4>
      </vt:variant>
      <vt:variant>
        <vt:i4>0</vt:i4>
      </vt:variant>
      <vt:variant>
        <vt:i4>5</vt:i4>
      </vt:variant>
      <vt:variant>
        <vt:lpwstr/>
      </vt:variant>
      <vt:variant>
        <vt:lpwstr>_Toc385328739</vt:lpwstr>
      </vt:variant>
      <vt:variant>
        <vt:i4>1507379</vt:i4>
      </vt:variant>
      <vt:variant>
        <vt:i4>158</vt:i4>
      </vt:variant>
      <vt:variant>
        <vt:i4>0</vt:i4>
      </vt:variant>
      <vt:variant>
        <vt:i4>5</vt:i4>
      </vt:variant>
      <vt:variant>
        <vt:lpwstr/>
      </vt:variant>
      <vt:variant>
        <vt:lpwstr>_Toc385328738</vt:lpwstr>
      </vt:variant>
      <vt:variant>
        <vt:i4>1507379</vt:i4>
      </vt:variant>
      <vt:variant>
        <vt:i4>152</vt:i4>
      </vt:variant>
      <vt:variant>
        <vt:i4>0</vt:i4>
      </vt:variant>
      <vt:variant>
        <vt:i4>5</vt:i4>
      </vt:variant>
      <vt:variant>
        <vt:lpwstr/>
      </vt:variant>
      <vt:variant>
        <vt:lpwstr>_Toc385328737</vt:lpwstr>
      </vt:variant>
      <vt:variant>
        <vt:i4>1507379</vt:i4>
      </vt:variant>
      <vt:variant>
        <vt:i4>146</vt:i4>
      </vt:variant>
      <vt:variant>
        <vt:i4>0</vt:i4>
      </vt:variant>
      <vt:variant>
        <vt:i4>5</vt:i4>
      </vt:variant>
      <vt:variant>
        <vt:lpwstr/>
      </vt:variant>
      <vt:variant>
        <vt:lpwstr>_Toc385328736</vt:lpwstr>
      </vt:variant>
      <vt:variant>
        <vt:i4>1507379</vt:i4>
      </vt:variant>
      <vt:variant>
        <vt:i4>140</vt:i4>
      </vt:variant>
      <vt:variant>
        <vt:i4>0</vt:i4>
      </vt:variant>
      <vt:variant>
        <vt:i4>5</vt:i4>
      </vt:variant>
      <vt:variant>
        <vt:lpwstr/>
      </vt:variant>
      <vt:variant>
        <vt:lpwstr>_Toc385328735</vt:lpwstr>
      </vt:variant>
      <vt:variant>
        <vt:i4>1507379</vt:i4>
      </vt:variant>
      <vt:variant>
        <vt:i4>134</vt:i4>
      </vt:variant>
      <vt:variant>
        <vt:i4>0</vt:i4>
      </vt:variant>
      <vt:variant>
        <vt:i4>5</vt:i4>
      </vt:variant>
      <vt:variant>
        <vt:lpwstr/>
      </vt:variant>
      <vt:variant>
        <vt:lpwstr>_Toc385328734</vt:lpwstr>
      </vt:variant>
      <vt:variant>
        <vt:i4>1507379</vt:i4>
      </vt:variant>
      <vt:variant>
        <vt:i4>128</vt:i4>
      </vt:variant>
      <vt:variant>
        <vt:i4>0</vt:i4>
      </vt:variant>
      <vt:variant>
        <vt:i4>5</vt:i4>
      </vt:variant>
      <vt:variant>
        <vt:lpwstr/>
      </vt:variant>
      <vt:variant>
        <vt:lpwstr>_Toc385328733</vt:lpwstr>
      </vt:variant>
      <vt:variant>
        <vt:i4>1507379</vt:i4>
      </vt:variant>
      <vt:variant>
        <vt:i4>122</vt:i4>
      </vt:variant>
      <vt:variant>
        <vt:i4>0</vt:i4>
      </vt:variant>
      <vt:variant>
        <vt:i4>5</vt:i4>
      </vt:variant>
      <vt:variant>
        <vt:lpwstr/>
      </vt:variant>
      <vt:variant>
        <vt:lpwstr>_Toc385328732</vt:lpwstr>
      </vt:variant>
      <vt:variant>
        <vt:i4>1507379</vt:i4>
      </vt:variant>
      <vt:variant>
        <vt:i4>116</vt:i4>
      </vt:variant>
      <vt:variant>
        <vt:i4>0</vt:i4>
      </vt:variant>
      <vt:variant>
        <vt:i4>5</vt:i4>
      </vt:variant>
      <vt:variant>
        <vt:lpwstr/>
      </vt:variant>
      <vt:variant>
        <vt:lpwstr>_Toc385328731</vt:lpwstr>
      </vt:variant>
      <vt:variant>
        <vt:i4>1507379</vt:i4>
      </vt:variant>
      <vt:variant>
        <vt:i4>110</vt:i4>
      </vt:variant>
      <vt:variant>
        <vt:i4>0</vt:i4>
      </vt:variant>
      <vt:variant>
        <vt:i4>5</vt:i4>
      </vt:variant>
      <vt:variant>
        <vt:lpwstr/>
      </vt:variant>
      <vt:variant>
        <vt:lpwstr>_Toc385328730</vt:lpwstr>
      </vt:variant>
      <vt:variant>
        <vt:i4>1441843</vt:i4>
      </vt:variant>
      <vt:variant>
        <vt:i4>104</vt:i4>
      </vt:variant>
      <vt:variant>
        <vt:i4>0</vt:i4>
      </vt:variant>
      <vt:variant>
        <vt:i4>5</vt:i4>
      </vt:variant>
      <vt:variant>
        <vt:lpwstr/>
      </vt:variant>
      <vt:variant>
        <vt:lpwstr>_Toc385328729</vt:lpwstr>
      </vt:variant>
      <vt:variant>
        <vt:i4>1441843</vt:i4>
      </vt:variant>
      <vt:variant>
        <vt:i4>98</vt:i4>
      </vt:variant>
      <vt:variant>
        <vt:i4>0</vt:i4>
      </vt:variant>
      <vt:variant>
        <vt:i4>5</vt:i4>
      </vt:variant>
      <vt:variant>
        <vt:lpwstr/>
      </vt:variant>
      <vt:variant>
        <vt:lpwstr>_Toc385328728</vt:lpwstr>
      </vt:variant>
      <vt:variant>
        <vt:i4>1441843</vt:i4>
      </vt:variant>
      <vt:variant>
        <vt:i4>92</vt:i4>
      </vt:variant>
      <vt:variant>
        <vt:i4>0</vt:i4>
      </vt:variant>
      <vt:variant>
        <vt:i4>5</vt:i4>
      </vt:variant>
      <vt:variant>
        <vt:lpwstr/>
      </vt:variant>
      <vt:variant>
        <vt:lpwstr>_Toc385328727</vt:lpwstr>
      </vt:variant>
      <vt:variant>
        <vt:i4>1441843</vt:i4>
      </vt:variant>
      <vt:variant>
        <vt:i4>86</vt:i4>
      </vt:variant>
      <vt:variant>
        <vt:i4>0</vt:i4>
      </vt:variant>
      <vt:variant>
        <vt:i4>5</vt:i4>
      </vt:variant>
      <vt:variant>
        <vt:lpwstr/>
      </vt:variant>
      <vt:variant>
        <vt:lpwstr>_Toc385328726</vt:lpwstr>
      </vt:variant>
      <vt:variant>
        <vt:i4>1441843</vt:i4>
      </vt:variant>
      <vt:variant>
        <vt:i4>80</vt:i4>
      </vt:variant>
      <vt:variant>
        <vt:i4>0</vt:i4>
      </vt:variant>
      <vt:variant>
        <vt:i4>5</vt:i4>
      </vt:variant>
      <vt:variant>
        <vt:lpwstr/>
      </vt:variant>
      <vt:variant>
        <vt:lpwstr>_Toc385328725</vt:lpwstr>
      </vt:variant>
      <vt:variant>
        <vt:i4>1441843</vt:i4>
      </vt:variant>
      <vt:variant>
        <vt:i4>74</vt:i4>
      </vt:variant>
      <vt:variant>
        <vt:i4>0</vt:i4>
      </vt:variant>
      <vt:variant>
        <vt:i4>5</vt:i4>
      </vt:variant>
      <vt:variant>
        <vt:lpwstr/>
      </vt:variant>
      <vt:variant>
        <vt:lpwstr>_Toc385328724</vt:lpwstr>
      </vt:variant>
      <vt:variant>
        <vt:i4>1441843</vt:i4>
      </vt:variant>
      <vt:variant>
        <vt:i4>68</vt:i4>
      </vt:variant>
      <vt:variant>
        <vt:i4>0</vt:i4>
      </vt:variant>
      <vt:variant>
        <vt:i4>5</vt:i4>
      </vt:variant>
      <vt:variant>
        <vt:lpwstr/>
      </vt:variant>
      <vt:variant>
        <vt:lpwstr>_Toc385328723</vt:lpwstr>
      </vt:variant>
      <vt:variant>
        <vt:i4>1441843</vt:i4>
      </vt:variant>
      <vt:variant>
        <vt:i4>62</vt:i4>
      </vt:variant>
      <vt:variant>
        <vt:i4>0</vt:i4>
      </vt:variant>
      <vt:variant>
        <vt:i4>5</vt:i4>
      </vt:variant>
      <vt:variant>
        <vt:lpwstr/>
      </vt:variant>
      <vt:variant>
        <vt:lpwstr>_Toc385328722</vt:lpwstr>
      </vt:variant>
      <vt:variant>
        <vt:i4>1441843</vt:i4>
      </vt:variant>
      <vt:variant>
        <vt:i4>56</vt:i4>
      </vt:variant>
      <vt:variant>
        <vt:i4>0</vt:i4>
      </vt:variant>
      <vt:variant>
        <vt:i4>5</vt:i4>
      </vt:variant>
      <vt:variant>
        <vt:lpwstr/>
      </vt:variant>
      <vt:variant>
        <vt:lpwstr>_Toc385328721</vt:lpwstr>
      </vt:variant>
      <vt:variant>
        <vt:i4>1441843</vt:i4>
      </vt:variant>
      <vt:variant>
        <vt:i4>50</vt:i4>
      </vt:variant>
      <vt:variant>
        <vt:i4>0</vt:i4>
      </vt:variant>
      <vt:variant>
        <vt:i4>5</vt:i4>
      </vt:variant>
      <vt:variant>
        <vt:lpwstr/>
      </vt:variant>
      <vt:variant>
        <vt:lpwstr>_Toc385328720</vt:lpwstr>
      </vt:variant>
      <vt:variant>
        <vt:i4>1376307</vt:i4>
      </vt:variant>
      <vt:variant>
        <vt:i4>44</vt:i4>
      </vt:variant>
      <vt:variant>
        <vt:i4>0</vt:i4>
      </vt:variant>
      <vt:variant>
        <vt:i4>5</vt:i4>
      </vt:variant>
      <vt:variant>
        <vt:lpwstr/>
      </vt:variant>
      <vt:variant>
        <vt:lpwstr>_Toc385328719</vt:lpwstr>
      </vt:variant>
      <vt:variant>
        <vt:i4>1376307</vt:i4>
      </vt:variant>
      <vt:variant>
        <vt:i4>38</vt:i4>
      </vt:variant>
      <vt:variant>
        <vt:i4>0</vt:i4>
      </vt:variant>
      <vt:variant>
        <vt:i4>5</vt:i4>
      </vt:variant>
      <vt:variant>
        <vt:lpwstr/>
      </vt:variant>
      <vt:variant>
        <vt:lpwstr>_Toc385328718</vt:lpwstr>
      </vt:variant>
      <vt:variant>
        <vt:i4>1376307</vt:i4>
      </vt:variant>
      <vt:variant>
        <vt:i4>32</vt:i4>
      </vt:variant>
      <vt:variant>
        <vt:i4>0</vt:i4>
      </vt:variant>
      <vt:variant>
        <vt:i4>5</vt:i4>
      </vt:variant>
      <vt:variant>
        <vt:lpwstr/>
      </vt:variant>
      <vt:variant>
        <vt:lpwstr>_Toc385328717</vt:lpwstr>
      </vt:variant>
      <vt:variant>
        <vt:i4>1376307</vt:i4>
      </vt:variant>
      <vt:variant>
        <vt:i4>26</vt:i4>
      </vt:variant>
      <vt:variant>
        <vt:i4>0</vt:i4>
      </vt:variant>
      <vt:variant>
        <vt:i4>5</vt:i4>
      </vt:variant>
      <vt:variant>
        <vt:lpwstr/>
      </vt:variant>
      <vt:variant>
        <vt:lpwstr>_Toc385328716</vt:lpwstr>
      </vt:variant>
      <vt:variant>
        <vt:i4>1376307</vt:i4>
      </vt:variant>
      <vt:variant>
        <vt:i4>20</vt:i4>
      </vt:variant>
      <vt:variant>
        <vt:i4>0</vt:i4>
      </vt:variant>
      <vt:variant>
        <vt:i4>5</vt:i4>
      </vt:variant>
      <vt:variant>
        <vt:lpwstr/>
      </vt:variant>
      <vt:variant>
        <vt:lpwstr>_Toc385328715</vt:lpwstr>
      </vt:variant>
      <vt:variant>
        <vt:i4>1376307</vt:i4>
      </vt:variant>
      <vt:variant>
        <vt:i4>14</vt:i4>
      </vt:variant>
      <vt:variant>
        <vt:i4>0</vt:i4>
      </vt:variant>
      <vt:variant>
        <vt:i4>5</vt:i4>
      </vt:variant>
      <vt:variant>
        <vt:lpwstr/>
      </vt:variant>
      <vt:variant>
        <vt:lpwstr>_Toc385328714</vt:lpwstr>
      </vt:variant>
      <vt:variant>
        <vt:i4>1376307</vt:i4>
      </vt:variant>
      <vt:variant>
        <vt:i4>8</vt:i4>
      </vt:variant>
      <vt:variant>
        <vt:i4>0</vt:i4>
      </vt:variant>
      <vt:variant>
        <vt:i4>5</vt:i4>
      </vt:variant>
      <vt:variant>
        <vt:lpwstr/>
      </vt:variant>
      <vt:variant>
        <vt:lpwstr>_Toc385328713</vt:lpwstr>
      </vt:variant>
      <vt:variant>
        <vt:i4>1376307</vt:i4>
      </vt:variant>
      <vt:variant>
        <vt:i4>2</vt:i4>
      </vt:variant>
      <vt:variant>
        <vt:i4>0</vt:i4>
      </vt:variant>
      <vt:variant>
        <vt:i4>5</vt:i4>
      </vt:variant>
      <vt:variant>
        <vt:lpwstr/>
      </vt:variant>
      <vt:variant>
        <vt:lpwstr>_Toc385328712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Procedural Requirement</dc:title>
  <dc:creator>Henry Bezold</dc:creator>
  <cp:lastModifiedBy>Parker, Cheryl E. (HQ-LP030)</cp:lastModifiedBy>
  <cp:revision>5</cp:revision>
  <cp:lastPrinted>2015-08-04T14:59:00Z</cp:lastPrinted>
  <dcterms:created xsi:type="dcterms:W3CDTF">2015-08-13T18:39:00Z</dcterms:created>
  <dcterms:modified xsi:type="dcterms:W3CDTF">2015-08-14T10:26:00Z</dcterms:modified>
</cp:coreProperties>
</file>