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210"/>
        <w:gridCol w:w="1446"/>
        <w:gridCol w:w="6704"/>
      </w:tblGrid>
      <w:tr w:rsidR="00662EA4" w:rsidRPr="00963FE5" w14:paraId="6D6C2BBA" w14:textId="77777777" w:rsidTr="00480409">
        <w:trPr>
          <w:tblCellSpacing w:w="0" w:type="dxa"/>
        </w:trPr>
        <w:tc>
          <w:tcPr>
            <w:tcW w:w="560" w:type="pct"/>
            <w:vAlign w:val="center"/>
            <w:hideMark/>
          </w:tcPr>
          <w:p w14:paraId="08DC6026" w14:textId="77777777" w:rsidR="00662EA4" w:rsidRPr="00963FE5" w:rsidRDefault="00662EA4" w:rsidP="00480409">
            <w:pPr>
              <w:widowControl w:val="0"/>
              <w:autoSpaceDE w:val="0"/>
              <w:autoSpaceDN w:val="0"/>
              <w:spacing w:after="0" w:line="240" w:lineRule="auto"/>
              <w:rPr>
                <w:rFonts w:eastAsia="Times New Roman"/>
                <w:color w:val="000000"/>
                <w:szCs w:val="24"/>
              </w:rPr>
            </w:pPr>
            <w:r w:rsidRPr="00963FE5">
              <w:rPr>
                <w:rFonts w:eastAsia="Times New Roman"/>
                <w:noProof/>
                <w:color w:val="000000"/>
                <w:szCs w:val="24"/>
              </w:rPr>
              <w:drawing>
                <wp:inline distT="0" distB="0" distL="0" distR="0" wp14:anchorId="69D67BA0" wp14:editId="6451891B">
                  <wp:extent cx="768350" cy="702310"/>
                  <wp:effectExtent l="0" t="0" r="0" b="0"/>
                  <wp:docPr id="3" name="Picture 3" descr="NAS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B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02310"/>
                          </a:xfrm>
                          <a:prstGeom prst="rect">
                            <a:avLst/>
                          </a:prstGeom>
                          <a:noFill/>
                          <a:ln>
                            <a:noFill/>
                          </a:ln>
                        </pic:spPr>
                      </pic:pic>
                    </a:graphicData>
                  </a:graphic>
                </wp:inline>
              </w:drawing>
            </w:r>
          </w:p>
        </w:tc>
        <w:tc>
          <w:tcPr>
            <w:tcW w:w="0" w:type="auto"/>
            <w:vAlign w:val="center"/>
            <w:hideMark/>
          </w:tcPr>
          <w:p w14:paraId="096143B6" w14:textId="77777777" w:rsidR="00662EA4" w:rsidRPr="00963FE5" w:rsidRDefault="00662EA4" w:rsidP="00480409">
            <w:pPr>
              <w:widowControl w:val="0"/>
              <w:autoSpaceDE w:val="0"/>
              <w:autoSpaceDN w:val="0"/>
              <w:spacing w:after="0" w:line="240" w:lineRule="auto"/>
              <w:rPr>
                <w:rFonts w:eastAsia="Times New Roman"/>
                <w:color w:val="000000"/>
                <w:szCs w:val="24"/>
              </w:rPr>
            </w:pPr>
            <w:r w:rsidRPr="00963FE5">
              <w:rPr>
                <w:rFonts w:eastAsia="Times New Roman"/>
                <w:b/>
                <w:bCs/>
                <w:color w:val="000000"/>
                <w:szCs w:val="24"/>
              </w:rPr>
              <w:t>NASA</w:t>
            </w:r>
            <w:r w:rsidRPr="00963FE5">
              <w:rPr>
                <w:rFonts w:eastAsia="Times New Roman"/>
                <w:b/>
                <w:bCs/>
                <w:color w:val="000000"/>
                <w:szCs w:val="24"/>
              </w:rPr>
              <w:br/>
              <w:t>Procedural</w:t>
            </w:r>
            <w:r w:rsidRPr="00963FE5">
              <w:rPr>
                <w:rFonts w:eastAsia="Times New Roman"/>
                <w:b/>
                <w:bCs/>
                <w:color w:val="000000"/>
                <w:szCs w:val="24"/>
              </w:rPr>
              <w:br/>
              <w:t>Requirements</w:t>
            </w:r>
            <w:r w:rsidRPr="00963FE5">
              <w:rPr>
                <w:rFonts w:eastAsia="Times New Roman"/>
                <w:color w:val="000000"/>
                <w:szCs w:val="24"/>
              </w:rPr>
              <w:t xml:space="preserve"> </w:t>
            </w:r>
          </w:p>
        </w:tc>
        <w:tc>
          <w:tcPr>
            <w:tcW w:w="0" w:type="auto"/>
            <w:vAlign w:val="center"/>
            <w:hideMark/>
          </w:tcPr>
          <w:p w14:paraId="736F4F8B" w14:textId="3EC3D54A" w:rsidR="00662EA4" w:rsidRPr="00963FE5" w:rsidRDefault="00662EA4" w:rsidP="00480409">
            <w:pPr>
              <w:widowControl w:val="0"/>
              <w:autoSpaceDE w:val="0"/>
              <w:autoSpaceDN w:val="0"/>
              <w:spacing w:after="0" w:line="240" w:lineRule="auto"/>
              <w:jc w:val="center"/>
              <w:rPr>
                <w:rFonts w:eastAsia="Times New Roman"/>
                <w:b/>
                <w:bCs/>
                <w:color w:val="000000"/>
                <w:szCs w:val="24"/>
              </w:rPr>
            </w:pPr>
            <w:r>
              <w:rPr>
                <w:rFonts w:eastAsia="Times New Roman"/>
                <w:b/>
                <w:bCs/>
                <w:color w:val="000000"/>
                <w:szCs w:val="24"/>
              </w:rPr>
              <w:t xml:space="preserve">                                                                                           </w:t>
            </w:r>
            <w:r w:rsidRPr="00963FE5">
              <w:rPr>
                <w:rFonts w:eastAsia="Times New Roman"/>
                <w:b/>
                <w:bCs/>
                <w:color w:val="000000"/>
                <w:szCs w:val="24"/>
              </w:rPr>
              <w:t xml:space="preserve">NPR </w:t>
            </w:r>
            <w:r>
              <w:rPr>
                <w:rFonts w:eastAsia="Times New Roman"/>
                <w:b/>
                <w:bCs/>
                <w:color w:val="000000"/>
                <w:szCs w:val="24"/>
              </w:rPr>
              <w:t>9750</w:t>
            </w:r>
            <w:r w:rsidRPr="00963FE5">
              <w:rPr>
                <w:rFonts w:eastAsia="Times New Roman"/>
                <w:b/>
                <w:bCs/>
                <w:color w:val="000000"/>
                <w:szCs w:val="24"/>
              </w:rPr>
              <w:t>.1</w:t>
            </w:r>
          </w:p>
          <w:p w14:paraId="104B6AB4" w14:textId="77777777" w:rsidR="00662EA4" w:rsidRPr="00963FE5" w:rsidRDefault="00662EA4" w:rsidP="00480409">
            <w:pPr>
              <w:widowControl w:val="0"/>
              <w:autoSpaceDE w:val="0"/>
              <w:autoSpaceDN w:val="0"/>
              <w:spacing w:after="0" w:line="240" w:lineRule="auto"/>
              <w:jc w:val="center"/>
              <w:rPr>
                <w:rFonts w:eastAsia="Times New Roman"/>
                <w:color w:val="000000"/>
                <w:szCs w:val="24"/>
              </w:rPr>
            </w:pPr>
            <w:r>
              <w:rPr>
                <w:rFonts w:eastAsia="Times New Roman"/>
                <w:color w:val="000000"/>
                <w:szCs w:val="24"/>
              </w:rPr>
              <w:t xml:space="preserve">                                                                 </w:t>
            </w:r>
            <w:r w:rsidRPr="00963FE5">
              <w:rPr>
                <w:rFonts w:eastAsia="Times New Roman"/>
                <w:color w:val="000000"/>
                <w:szCs w:val="24"/>
              </w:rPr>
              <w:t xml:space="preserve">Effective Date: </w:t>
            </w:r>
            <w:r>
              <w:rPr>
                <w:rFonts w:eastAsia="Times New Roman"/>
                <w:color w:val="000000"/>
                <w:szCs w:val="24"/>
              </w:rPr>
              <w:t>May 9</w:t>
            </w:r>
            <w:r w:rsidRPr="00963FE5">
              <w:rPr>
                <w:rFonts w:eastAsia="Times New Roman"/>
                <w:color w:val="000000"/>
                <w:szCs w:val="24"/>
              </w:rPr>
              <w:t>, 2018</w:t>
            </w:r>
          </w:p>
          <w:p w14:paraId="384941C0" w14:textId="77777777" w:rsidR="00662EA4" w:rsidRPr="00963FE5" w:rsidRDefault="00662EA4" w:rsidP="00480409">
            <w:pPr>
              <w:widowControl w:val="0"/>
              <w:autoSpaceDE w:val="0"/>
              <w:autoSpaceDN w:val="0"/>
              <w:spacing w:after="0" w:line="240" w:lineRule="auto"/>
              <w:jc w:val="center"/>
              <w:rPr>
                <w:rFonts w:eastAsia="Times New Roman"/>
                <w:color w:val="000000"/>
                <w:szCs w:val="24"/>
              </w:rPr>
            </w:pPr>
            <w:r>
              <w:rPr>
                <w:rFonts w:eastAsia="Times New Roman"/>
                <w:color w:val="000000"/>
                <w:szCs w:val="24"/>
              </w:rPr>
              <w:t xml:space="preserve">                                                              </w:t>
            </w:r>
            <w:r w:rsidRPr="00963FE5">
              <w:rPr>
                <w:rFonts w:eastAsia="Times New Roman"/>
                <w:color w:val="000000"/>
                <w:szCs w:val="24"/>
              </w:rPr>
              <w:t>Expiration Date:</w:t>
            </w:r>
            <w:r>
              <w:rPr>
                <w:rFonts w:eastAsia="Times New Roman"/>
                <w:color w:val="000000"/>
                <w:szCs w:val="24"/>
              </w:rPr>
              <w:t xml:space="preserve">  June 9</w:t>
            </w:r>
            <w:r w:rsidRPr="00963FE5">
              <w:rPr>
                <w:rFonts w:eastAsia="Times New Roman"/>
                <w:color w:val="000000"/>
                <w:szCs w:val="24"/>
              </w:rPr>
              <w:t xml:space="preserve">, </w:t>
            </w:r>
            <w:proofErr w:type="gramStart"/>
            <w:r w:rsidRPr="00963FE5">
              <w:rPr>
                <w:rFonts w:eastAsia="Times New Roman"/>
                <w:color w:val="000000"/>
                <w:szCs w:val="24"/>
              </w:rPr>
              <w:t>2028</w:t>
            </w:r>
            <w:proofErr w:type="gramEnd"/>
            <w:r w:rsidRPr="00963FE5">
              <w:rPr>
                <w:rFonts w:eastAsia="Times New Roman"/>
                <w:color w:val="000000"/>
                <w:szCs w:val="24"/>
              </w:rPr>
              <w:t xml:space="preserve"> </w:t>
            </w:r>
          </w:p>
        </w:tc>
      </w:tr>
    </w:tbl>
    <w:p w14:paraId="4C6A0310" w14:textId="7410D3A2" w:rsidR="007518EA" w:rsidRDefault="007518EA" w:rsidP="008C1535">
      <w:pPr>
        <w:spacing w:after="0"/>
      </w:pPr>
    </w:p>
    <w:p w14:paraId="4493E2D1" w14:textId="77777777" w:rsidR="00662EA4" w:rsidRDefault="00662EA4" w:rsidP="008C1535">
      <w:pPr>
        <w:spacing w:after="0"/>
      </w:pPr>
    </w:p>
    <w:p w14:paraId="02F904A3" w14:textId="618D920B" w:rsidR="00E40DE0" w:rsidRPr="007518EA" w:rsidRDefault="007518EA" w:rsidP="00A14896">
      <w:pPr>
        <w:pStyle w:val="Heading2"/>
        <w:spacing w:before="0" w:beforeAutospacing="0" w:after="0" w:afterAutospacing="0"/>
        <w:rPr>
          <w:sz w:val="24"/>
          <w:szCs w:val="24"/>
        </w:rPr>
      </w:pPr>
      <w:r w:rsidRPr="007518EA">
        <w:rPr>
          <w:sz w:val="24"/>
          <w:szCs w:val="24"/>
        </w:rPr>
        <w:t xml:space="preserve">Subject:  </w:t>
      </w:r>
      <w:r w:rsidR="005735A2" w:rsidRPr="007518EA">
        <w:rPr>
          <w:sz w:val="24"/>
          <w:szCs w:val="24"/>
        </w:rPr>
        <w:t xml:space="preserve">Extended Temporary Duty Travel </w:t>
      </w:r>
    </w:p>
    <w:p w14:paraId="4BAC4A64" w14:textId="77777777" w:rsidR="007518EA" w:rsidRPr="007518EA" w:rsidRDefault="00E40DE0" w:rsidP="007518EA">
      <w:pPr>
        <w:pStyle w:val="Heading4"/>
        <w:spacing w:before="0" w:after="0"/>
        <w:rPr>
          <w:sz w:val="24"/>
          <w:szCs w:val="24"/>
        </w:rPr>
      </w:pPr>
      <w:r w:rsidRPr="007518EA">
        <w:rPr>
          <w:sz w:val="24"/>
          <w:szCs w:val="24"/>
        </w:rPr>
        <w:t xml:space="preserve">Responsible Office:  Office of the Chief Financial Officer </w:t>
      </w:r>
    </w:p>
    <w:p w14:paraId="655DDCD8" w14:textId="77777777" w:rsidR="007518EA" w:rsidRDefault="007518EA" w:rsidP="007518EA">
      <w:pPr>
        <w:pStyle w:val="Heading4"/>
        <w:spacing w:before="0" w:after="0"/>
        <w:rPr>
          <w:sz w:val="24"/>
          <w:szCs w:val="24"/>
        </w:rPr>
      </w:pPr>
    </w:p>
    <w:p w14:paraId="6227E157" w14:textId="55BA4109" w:rsidR="00E40DE0" w:rsidRPr="007518EA" w:rsidRDefault="00A14896" w:rsidP="007518EA">
      <w:pPr>
        <w:pStyle w:val="Heading4"/>
        <w:spacing w:before="0" w:after="0"/>
        <w:rPr>
          <w:b w:val="0"/>
          <w:sz w:val="24"/>
          <w:szCs w:val="24"/>
        </w:rPr>
      </w:pPr>
      <w:r w:rsidRPr="007518EA">
        <w:rPr>
          <w:sz w:val="24"/>
          <w:szCs w:val="24"/>
        </w:rPr>
        <w:t>Table o</w:t>
      </w:r>
      <w:r w:rsidR="00A416C9" w:rsidRPr="007518EA">
        <w:rPr>
          <w:sz w:val="24"/>
          <w:szCs w:val="24"/>
        </w:rPr>
        <w:t>f Contents</w:t>
      </w:r>
    </w:p>
    <w:p w14:paraId="2EFCC2EA" w14:textId="77777777" w:rsidR="00FD1780" w:rsidRPr="008C1535" w:rsidRDefault="007F5A0D" w:rsidP="008C1535">
      <w:pPr>
        <w:pStyle w:val="TOC1"/>
        <w:rPr>
          <w:rFonts w:asciiTheme="minorHAnsi" w:eastAsiaTheme="minorEastAsia" w:hAnsiTheme="minorHAnsi" w:cstheme="minorBidi"/>
          <w:sz w:val="22"/>
          <w:szCs w:val="22"/>
        </w:rPr>
      </w:pPr>
      <w:r w:rsidRPr="00816981">
        <w:fldChar w:fldCharType="begin"/>
      </w:r>
      <w:r w:rsidR="00E40DE0" w:rsidRPr="00816981">
        <w:instrText xml:space="preserve"> TOC \n \h \z \t "NPR 1,1,NPR 2,2,Preface 1,1,Preface 2,2,Appendix 1,1" </w:instrText>
      </w:r>
      <w:r w:rsidRPr="00816981">
        <w:fldChar w:fldCharType="separate"/>
      </w:r>
      <w:hyperlink w:anchor="_Toc482711879" w:history="1">
        <w:r w:rsidR="00FD1780" w:rsidRPr="008C1535">
          <w:rPr>
            <w:rStyle w:val="Hyperlink"/>
          </w:rPr>
          <w:t>PREFACE</w:t>
        </w:r>
      </w:hyperlink>
    </w:p>
    <w:p w14:paraId="31CE4B99" w14:textId="60434A2C" w:rsidR="00FD1780" w:rsidRPr="00816981" w:rsidRDefault="0086029C" w:rsidP="006E741A">
      <w:pPr>
        <w:pStyle w:val="TOC2"/>
        <w:rPr>
          <w:rFonts w:asciiTheme="minorHAnsi" w:eastAsiaTheme="minorEastAsia" w:hAnsiTheme="minorHAnsi" w:cstheme="minorBidi"/>
          <w:noProof/>
          <w:sz w:val="22"/>
        </w:rPr>
      </w:pPr>
      <w:hyperlink w:anchor="_Toc482711880" w:history="1">
        <w:r w:rsidR="00FD1780" w:rsidRPr="00816981">
          <w:rPr>
            <w:rStyle w:val="Hyperlink"/>
            <w:noProof/>
          </w:rPr>
          <w:t>P.1 Purpose</w:t>
        </w:r>
      </w:hyperlink>
    </w:p>
    <w:p w14:paraId="5236F616" w14:textId="77777777" w:rsidR="00FD1780" w:rsidRPr="00816981" w:rsidRDefault="0086029C" w:rsidP="006E741A">
      <w:pPr>
        <w:pStyle w:val="TOC2"/>
        <w:rPr>
          <w:rFonts w:asciiTheme="minorHAnsi" w:eastAsiaTheme="minorEastAsia" w:hAnsiTheme="minorHAnsi" w:cstheme="minorBidi"/>
          <w:noProof/>
          <w:sz w:val="22"/>
        </w:rPr>
      </w:pPr>
      <w:hyperlink w:anchor="_Toc482711881" w:history="1">
        <w:r w:rsidR="00FD1780" w:rsidRPr="00816981">
          <w:rPr>
            <w:rStyle w:val="Hyperlink"/>
            <w:noProof/>
          </w:rPr>
          <w:t>P.2 Applicability</w:t>
        </w:r>
      </w:hyperlink>
    </w:p>
    <w:p w14:paraId="218B8B1A" w14:textId="77777777" w:rsidR="00FD1780" w:rsidRPr="00816981" w:rsidRDefault="0086029C" w:rsidP="006E741A">
      <w:pPr>
        <w:pStyle w:val="TOC2"/>
        <w:rPr>
          <w:rFonts w:asciiTheme="minorHAnsi" w:eastAsiaTheme="minorEastAsia" w:hAnsiTheme="minorHAnsi" w:cstheme="minorBidi"/>
          <w:noProof/>
          <w:sz w:val="22"/>
        </w:rPr>
      </w:pPr>
      <w:hyperlink w:anchor="_Toc482711882" w:history="1">
        <w:r w:rsidR="00FD1780" w:rsidRPr="00816981">
          <w:rPr>
            <w:rStyle w:val="Hyperlink"/>
            <w:noProof/>
          </w:rPr>
          <w:t>P.3 Authority</w:t>
        </w:r>
      </w:hyperlink>
    </w:p>
    <w:p w14:paraId="01642783" w14:textId="77777777" w:rsidR="00FD1780" w:rsidRPr="00816981" w:rsidRDefault="0086029C" w:rsidP="006E741A">
      <w:pPr>
        <w:pStyle w:val="TOC2"/>
        <w:rPr>
          <w:rFonts w:asciiTheme="minorHAnsi" w:eastAsiaTheme="minorEastAsia" w:hAnsiTheme="minorHAnsi" w:cstheme="minorBidi"/>
          <w:noProof/>
          <w:sz w:val="22"/>
        </w:rPr>
      </w:pPr>
      <w:hyperlink w:anchor="_Toc482711883" w:history="1">
        <w:r w:rsidR="00FD1780" w:rsidRPr="00816981">
          <w:rPr>
            <w:rStyle w:val="Hyperlink"/>
            <w:noProof/>
          </w:rPr>
          <w:t>P.4 Applicable Documents and Forms</w:t>
        </w:r>
      </w:hyperlink>
    </w:p>
    <w:p w14:paraId="7A4C6F81" w14:textId="77777777" w:rsidR="00FD1780" w:rsidRPr="00E922E0" w:rsidRDefault="0086029C" w:rsidP="006E741A">
      <w:pPr>
        <w:pStyle w:val="TOC2"/>
        <w:rPr>
          <w:rStyle w:val="Hyperlink"/>
          <w:noProof/>
          <w:color w:val="auto"/>
        </w:rPr>
      </w:pPr>
      <w:hyperlink w:anchor="_Toc482711884" w:history="1">
        <w:r w:rsidR="00FD1780" w:rsidRPr="00816981">
          <w:rPr>
            <w:rStyle w:val="Hyperlink"/>
            <w:noProof/>
          </w:rPr>
          <w:t>P.5 Measurement/Verification</w:t>
        </w:r>
      </w:hyperlink>
    </w:p>
    <w:p w14:paraId="615E9A6E" w14:textId="77777777" w:rsidR="008D6BFC" w:rsidRPr="008D6BFC" w:rsidRDefault="00964503" w:rsidP="008D6BFC">
      <w:r>
        <w:t>P.6 Cancellation</w:t>
      </w:r>
    </w:p>
    <w:p w14:paraId="05574901" w14:textId="77777777" w:rsidR="00FD1780" w:rsidRPr="00816981" w:rsidRDefault="0086029C" w:rsidP="008C1535">
      <w:pPr>
        <w:pStyle w:val="TOC1"/>
        <w:rPr>
          <w:rFonts w:asciiTheme="minorHAnsi" w:eastAsiaTheme="minorEastAsia" w:hAnsiTheme="minorHAnsi" w:cstheme="minorBidi"/>
          <w:sz w:val="22"/>
          <w:szCs w:val="22"/>
        </w:rPr>
      </w:pPr>
      <w:hyperlink w:anchor="_Toc482711885" w:history="1">
        <w:r w:rsidR="00FD1780" w:rsidRPr="00816981">
          <w:rPr>
            <w:rStyle w:val="Hyperlink"/>
          </w:rPr>
          <w:t>CHAPTER 1. General Overview</w:t>
        </w:r>
      </w:hyperlink>
    </w:p>
    <w:p w14:paraId="00985314" w14:textId="77777777" w:rsidR="00FD1780" w:rsidRPr="00816981" w:rsidRDefault="0086029C" w:rsidP="006E741A">
      <w:pPr>
        <w:pStyle w:val="TOC2"/>
        <w:rPr>
          <w:rFonts w:asciiTheme="minorHAnsi" w:eastAsiaTheme="minorEastAsia" w:hAnsiTheme="minorHAnsi" w:cstheme="minorBidi"/>
          <w:noProof/>
          <w:sz w:val="22"/>
        </w:rPr>
      </w:pPr>
      <w:hyperlink w:anchor="_Toc482711886" w:history="1">
        <w:r w:rsidR="00FD1780" w:rsidRPr="00816981">
          <w:rPr>
            <w:rStyle w:val="Hyperlink"/>
            <w:noProof/>
          </w:rPr>
          <w:t>1.1 Overview</w:t>
        </w:r>
      </w:hyperlink>
    </w:p>
    <w:p w14:paraId="6EB7E414" w14:textId="77777777" w:rsidR="00FD1780" w:rsidRPr="00816981" w:rsidRDefault="0086029C" w:rsidP="006E741A">
      <w:pPr>
        <w:pStyle w:val="TOC2"/>
        <w:rPr>
          <w:rFonts w:asciiTheme="minorHAnsi" w:eastAsiaTheme="minorEastAsia" w:hAnsiTheme="minorHAnsi" w:cstheme="minorBidi"/>
          <w:noProof/>
          <w:sz w:val="22"/>
        </w:rPr>
      </w:pPr>
      <w:hyperlink w:anchor="_Toc482711887" w:history="1">
        <w:r w:rsidR="00FD1780" w:rsidRPr="00816981">
          <w:rPr>
            <w:rStyle w:val="Hyperlink"/>
            <w:noProof/>
          </w:rPr>
          <w:t>1.2 Agency Requirements</w:t>
        </w:r>
      </w:hyperlink>
    </w:p>
    <w:p w14:paraId="1FB5CDDA" w14:textId="77777777" w:rsidR="00FD1780" w:rsidRPr="00816981" w:rsidRDefault="0086029C" w:rsidP="006E741A">
      <w:pPr>
        <w:pStyle w:val="TOC2"/>
        <w:rPr>
          <w:rFonts w:asciiTheme="minorHAnsi" w:eastAsiaTheme="minorEastAsia" w:hAnsiTheme="minorHAnsi" w:cstheme="minorBidi"/>
          <w:noProof/>
          <w:sz w:val="22"/>
        </w:rPr>
      </w:pPr>
      <w:hyperlink w:anchor="_Toc482711888" w:history="1">
        <w:r w:rsidR="00FD1780" w:rsidRPr="00816981">
          <w:rPr>
            <w:rStyle w:val="Hyperlink"/>
            <w:noProof/>
          </w:rPr>
          <w:t>1.3 Roles and Responsibilities</w:t>
        </w:r>
      </w:hyperlink>
    </w:p>
    <w:p w14:paraId="1CA6E982" w14:textId="77777777" w:rsidR="00FD1780" w:rsidRPr="00816981" w:rsidRDefault="0086029C" w:rsidP="008C1535">
      <w:pPr>
        <w:pStyle w:val="TOC1"/>
        <w:rPr>
          <w:rFonts w:asciiTheme="minorHAnsi" w:eastAsiaTheme="minorEastAsia" w:hAnsiTheme="minorHAnsi" w:cstheme="minorBidi"/>
          <w:sz w:val="22"/>
          <w:szCs w:val="22"/>
        </w:rPr>
      </w:pPr>
      <w:hyperlink w:anchor="_Toc482711889" w:history="1">
        <w:r w:rsidR="00FD1780" w:rsidRPr="00816981">
          <w:rPr>
            <w:rStyle w:val="Hyperlink"/>
          </w:rPr>
          <w:t xml:space="preserve">CHAPTER 2. Authorization and Approval of </w:t>
        </w:r>
        <w:r w:rsidR="0002612B">
          <w:rPr>
            <w:rStyle w:val="Hyperlink"/>
          </w:rPr>
          <w:t>Extended Temporary Duty (</w:t>
        </w:r>
        <w:r w:rsidR="00FD1780" w:rsidRPr="00816981">
          <w:rPr>
            <w:rStyle w:val="Hyperlink"/>
          </w:rPr>
          <w:t>ETDY</w:t>
        </w:r>
        <w:r w:rsidR="0002612B">
          <w:rPr>
            <w:rStyle w:val="Hyperlink"/>
          </w:rPr>
          <w:t>)</w:t>
        </w:r>
        <w:r w:rsidR="00FD1780" w:rsidRPr="00816981">
          <w:rPr>
            <w:rStyle w:val="Hyperlink"/>
          </w:rPr>
          <w:t xml:space="preserve"> Travel</w:t>
        </w:r>
      </w:hyperlink>
    </w:p>
    <w:p w14:paraId="4A58D460" w14:textId="77777777" w:rsidR="00FD1780" w:rsidRPr="00816981" w:rsidRDefault="0086029C" w:rsidP="006E741A">
      <w:pPr>
        <w:pStyle w:val="TOC2"/>
        <w:rPr>
          <w:rFonts w:asciiTheme="minorHAnsi" w:eastAsiaTheme="minorEastAsia" w:hAnsiTheme="minorHAnsi" w:cstheme="minorBidi"/>
          <w:noProof/>
          <w:sz w:val="22"/>
        </w:rPr>
      </w:pPr>
      <w:hyperlink w:anchor="_Toc482711890" w:history="1">
        <w:r w:rsidR="00FD1780" w:rsidRPr="00816981">
          <w:rPr>
            <w:rStyle w:val="Hyperlink"/>
            <w:noProof/>
          </w:rPr>
          <w:t>2.1 Overview</w:t>
        </w:r>
      </w:hyperlink>
    </w:p>
    <w:p w14:paraId="4CD850E6" w14:textId="77777777" w:rsidR="00FD1780" w:rsidRPr="00816981" w:rsidRDefault="0086029C" w:rsidP="006E741A">
      <w:pPr>
        <w:pStyle w:val="TOC2"/>
        <w:rPr>
          <w:rFonts w:asciiTheme="minorHAnsi" w:eastAsiaTheme="minorEastAsia" w:hAnsiTheme="minorHAnsi" w:cstheme="minorBidi"/>
          <w:noProof/>
          <w:sz w:val="22"/>
        </w:rPr>
      </w:pPr>
      <w:hyperlink w:anchor="_Toc482711891" w:history="1">
        <w:r w:rsidR="00FD1780" w:rsidRPr="00816981">
          <w:rPr>
            <w:rStyle w:val="Hyperlink"/>
            <w:noProof/>
          </w:rPr>
          <w:t>2.2 ETDY Counseling</w:t>
        </w:r>
      </w:hyperlink>
    </w:p>
    <w:p w14:paraId="21A46238" w14:textId="77777777" w:rsidR="00FD1780" w:rsidRPr="00816981" w:rsidRDefault="0086029C" w:rsidP="006E741A">
      <w:pPr>
        <w:pStyle w:val="TOC2"/>
        <w:rPr>
          <w:rFonts w:asciiTheme="minorHAnsi" w:eastAsiaTheme="minorEastAsia" w:hAnsiTheme="minorHAnsi" w:cstheme="minorBidi"/>
          <w:noProof/>
          <w:sz w:val="22"/>
        </w:rPr>
      </w:pPr>
      <w:hyperlink w:anchor="_Toc482711892" w:history="1">
        <w:r w:rsidR="00FD1780" w:rsidRPr="00816981">
          <w:rPr>
            <w:rStyle w:val="Hyperlink"/>
            <w:noProof/>
          </w:rPr>
          <w:t>2.3 ETDY Assignment</w:t>
        </w:r>
      </w:hyperlink>
    </w:p>
    <w:p w14:paraId="3A58CFF1" w14:textId="77777777" w:rsidR="00FD1780" w:rsidRPr="00816981" w:rsidRDefault="0086029C" w:rsidP="006E741A">
      <w:pPr>
        <w:pStyle w:val="TOC2"/>
        <w:rPr>
          <w:rFonts w:asciiTheme="minorHAnsi" w:eastAsiaTheme="minorEastAsia" w:hAnsiTheme="minorHAnsi" w:cstheme="minorBidi"/>
          <w:noProof/>
          <w:sz w:val="22"/>
        </w:rPr>
      </w:pPr>
      <w:hyperlink w:anchor="_Toc482711893" w:history="1">
        <w:r w:rsidR="00FD1780" w:rsidRPr="00816981">
          <w:rPr>
            <w:rStyle w:val="Hyperlink"/>
            <w:noProof/>
          </w:rPr>
          <w:t>2.4 Cost Comparison</w:t>
        </w:r>
      </w:hyperlink>
    </w:p>
    <w:p w14:paraId="7C2E22F8" w14:textId="77777777" w:rsidR="00FD1780" w:rsidRPr="00816981" w:rsidRDefault="0086029C" w:rsidP="006E741A">
      <w:pPr>
        <w:pStyle w:val="TOC2"/>
        <w:rPr>
          <w:rFonts w:asciiTheme="minorHAnsi" w:eastAsiaTheme="minorEastAsia" w:hAnsiTheme="minorHAnsi" w:cstheme="minorBidi"/>
          <w:noProof/>
          <w:sz w:val="22"/>
        </w:rPr>
      </w:pPr>
      <w:hyperlink w:anchor="_Toc482711894" w:history="1">
        <w:r w:rsidR="00FD1780" w:rsidRPr="00816981">
          <w:rPr>
            <w:rStyle w:val="Hyperlink"/>
            <w:noProof/>
          </w:rPr>
          <w:t>2.5 Authorization and Approval</w:t>
        </w:r>
      </w:hyperlink>
    </w:p>
    <w:p w14:paraId="11007CCE" w14:textId="77777777" w:rsidR="00FD1780" w:rsidRPr="00816981" w:rsidRDefault="0086029C" w:rsidP="008C1535">
      <w:pPr>
        <w:pStyle w:val="TOC1"/>
        <w:rPr>
          <w:rFonts w:asciiTheme="minorHAnsi" w:eastAsiaTheme="minorEastAsia" w:hAnsiTheme="minorHAnsi" w:cstheme="minorBidi"/>
          <w:sz w:val="22"/>
          <w:szCs w:val="22"/>
        </w:rPr>
      </w:pPr>
      <w:hyperlink w:anchor="_Toc482711895" w:history="1">
        <w:r w:rsidR="00FD1780" w:rsidRPr="00816981">
          <w:rPr>
            <w:rStyle w:val="Hyperlink"/>
          </w:rPr>
          <w:t>CHAPTER 3. ETDY Expense Allowances</w:t>
        </w:r>
      </w:hyperlink>
    </w:p>
    <w:p w14:paraId="5AC0B64A" w14:textId="77777777" w:rsidR="00FD1780" w:rsidRPr="00816981" w:rsidRDefault="0086029C" w:rsidP="006E741A">
      <w:pPr>
        <w:pStyle w:val="TOC2"/>
        <w:rPr>
          <w:rFonts w:asciiTheme="minorHAnsi" w:eastAsiaTheme="minorEastAsia" w:hAnsiTheme="minorHAnsi" w:cstheme="minorBidi"/>
          <w:noProof/>
          <w:sz w:val="22"/>
        </w:rPr>
      </w:pPr>
      <w:hyperlink w:anchor="_Toc482711896" w:history="1">
        <w:r w:rsidR="00FD1780" w:rsidRPr="00816981">
          <w:rPr>
            <w:rStyle w:val="Hyperlink"/>
            <w:noProof/>
          </w:rPr>
          <w:t>3.1 Lodging Allowances</w:t>
        </w:r>
      </w:hyperlink>
    </w:p>
    <w:p w14:paraId="2E1E0B5A" w14:textId="77777777" w:rsidR="00FD1780" w:rsidRPr="00816981" w:rsidRDefault="0086029C" w:rsidP="006E741A">
      <w:pPr>
        <w:pStyle w:val="TOC2"/>
        <w:rPr>
          <w:rFonts w:asciiTheme="minorHAnsi" w:eastAsiaTheme="minorEastAsia" w:hAnsiTheme="minorHAnsi" w:cstheme="minorBidi"/>
          <w:noProof/>
          <w:sz w:val="22"/>
        </w:rPr>
      </w:pPr>
      <w:hyperlink w:anchor="_Toc482711897" w:history="1">
        <w:r w:rsidR="00FD1780" w:rsidRPr="00816981">
          <w:rPr>
            <w:rStyle w:val="Hyperlink"/>
            <w:noProof/>
          </w:rPr>
          <w:t>3.2</w:t>
        </w:r>
        <w:r w:rsidR="00FD1780" w:rsidRPr="00816981">
          <w:rPr>
            <w:rStyle w:val="Hyperlink"/>
            <w:bCs/>
            <w:noProof/>
          </w:rPr>
          <w:t xml:space="preserve"> Transportation Allowances</w:t>
        </w:r>
      </w:hyperlink>
    </w:p>
    <w:p w14:paraId="51A646B3" w14:textId="77777777" w:rsidR="00FD1780" w:rsidRPr="00816981" w:rsidRDefault="0086029C" w:rsidP="006E741A">
      <w:pPr>
        <w:pStyle w:val="TOC2"/>
        <w:rPr>
          <w:rFonts w:asciiTheme="minorHAnsi" w:eastAsiaTheme="minorEastAsia" w:hAnsiTheme="minorHAnsi" w:cstheme="minorBidi"/>
          <w:noProof/>
          <w:sz w:val="22"/>
        </w:rPr>
      </w:pPr>
      <w:hyperlink w:anchor="_Toc482711898" w:history="1">
        <w:r w:rsidR="00FD1780" w:rsidRPr="00816981">
          <w:rPr>
            <w:rStyle w:val="Hyperlink"/>
            <w:noProof/>
          </w:rPr>
          <w:t>3.3 Home Trips</w:t>
        </w:r>
      </w:hyperlink>
    </w:p>
    <w:p w14:paraId="72F3140C" w14:textId="77777777" w:rsidR="00FD1780" w:rsidRPr="00816981" w:rsidRDefault="0086029C" w:rsidP="006E741A">
      <w:pPr>
        <w:pStyle w:val="TOC2"/>
        <w:rPr>
          <w:rFonts w:asciiTheme="minorHAnsi" w:eastAsiaTheme="minorEastAsia" w:hAnsiTheme="minorHAnsi" w:cstheme="minorBidi"/>
          <w:noProof/>
          <w:sz w:val="22"/>
        </w:rPr>
      </w:pPr>
      <w:hyperlink w:anchor="_Toc482711899" w:history="1">
        <w:r w:rsidR="00FD1780" w:rsidRPr="00816981">
          <w:rPr>
            <w:rStyle w:val="Hyperlink"/>
            <w:noProof/>
          </w:rPr>
          <w:t>3.4 Miscellaneous Expenses</w:t>
        </w:r>
      </w:hyperlink>
    </w:p>
    <w:p w14:paraId="7254F416" w14:textId="77777777" w:rsidR="00FD1780" w:rsidRPr="00816981" w:rsidRDefault="0086029C" w:rsidP="008C1535">
      <w:pPr>
        <w:pStyle w:val="TOC1"/>
        <w:rPr>
          <w:rFonts w:asciiTheme="minorHAnsi" w:eastAsiaTheme="minorEastAsia" w:hAnsiTheme="minorHAnsi" w:cstheme="minorBidi"/>
          <w:sz w:val="22"/>
          <w:szCs w:val="22"/>
        </w:rPr>
      </w:pPr>
      <w:hyperlink w:anchor="_Toc482711900" w:history="1">
        <w:r w:rsidR="00FD1780" w:rsidRPr="00816981">
          <w:rPr>
            <w:rStyle w:val="Hyperlink"/>
          </w:rPr>
          <w:t>CHAPTER 4. Reimbursement and Voucher</w:t>
        </w:r>
      </w:hyperlink>
    </w:p>
    <w:p w14:paraId="4024E734" w14:textId="77777777" w:rsidR="00FD1780" w:rsidRPr="00816981" w:rsidRDefault="0086029C" w:rsidP="006E741A">
      <w:pPr>
        <w:pStyle w:val="TOC2"/>
        <w:rPr>
          <w:rFonts w:asciiTheme="minorHAnsi" w:eastAsiaTheme="minorEastAsia" w:hAnsiTheme="minorHAnsi" w:cstheme="minorBidi"/>
          <w:noProof/>
          <w:sz w:val="22"/>
        </w:rPr>
      </w:pPr>
      <w:hyperlink w:anchor="_Toc482711901" w:history="1">
        <w:r w:rsidR="00FD1780" w:rsidRPr="00816981">
          <w:rPr>
            <w:rStyle w:val="Hyperlink"/>
            <w:noProof/>
          </w:rPr>
          <w:t>4.1 Filing for Reimbursement</w:t>
        </w:r>
      </w:hyperlink>
    </w:p>
    <w:p w14:paraId="62C68F6E" w14:textId="77777777" w:rsidR="00FD1780" w:rsidRPr="00816981" w:rsidRDefault="0086029C" w:rsidP="006E741A">
      <w:pPr>
        <w:pStyle w:val="TOC2"/>
        <w:rPr>
          <w:rFonts w:asciiTheme="minorHAnsi" w:eastAsiaTheme="minorEastAsia" w:hAnsiTheme="minorHAnsi" w:cstheme="minorBidi"/>
          <w:noProof/>
          <w:sz w:val="22"/>
        </w:rPr>
      </w:pPr>
      <w:hyperlink w:anchor="_Toc482711902" w:history="1">
        <w:r w:rsidR="00FD1780" w:rsidRPr="00816981">
          <w:rPr>
            <w:rStyle w:val="Hyperlink"/>
            <w:noProof/>
          </w:rPr>
          <w:t>4.2 Extended TDY Tax Reimbursement Allowance (ETTRA)</w:t>
        </w:r>
      </w:hyperlink>
    </w:p>
    <w:p w14:paraId="76794B1F" w14:textId="77777777" w:rsidR="00FD1780" w:rsidRPr="00816981" w:rsidRDefault="0086029C" w:rsidP="006E741A">
      <w:pPr>
        <w:pStyle w:val="TOC2"/>
        <w:rPr>
          <w:rFonts w:asciiTheme="minorHAnsi" w:eastAsiaTheme="minorEastAsia" w:hAnsiTheme="minorHAnsi" w:cstheme="minorBidi"/>
          <w:noProof/>
          <w:sz w:val="22"/>
        </w:rPr>
      </w:pPr>
      <w:hyperlink w:anchor="_Toc482711903" w:history="1">
        <w:r w:rsidR="00FD1780" w:rsidRPr="00816981">
          <w:rPr>
            <w:rStyle w:val="Hyperlink"/>
            <w:noProof/>
          </w:rPr>
          <w:t>4.3 Final Voucher</w:t>
        </w:r>
      </w:hyperlink>
    </w:p>
    <w:bookmarkStart w:id="0" w:name="_Appendix_A._Acronyms"/>
    <w:bookmarkEnd w:id="0"/>
    <w:p w14:paraId="1983B765" w14:textId="3F6CE51F" w:rsidR="00E40DE0" w:rsidRPr="008C1535" w:rsidRDefault="0086029C" w:rsidP="008C1535">
      <w:pPr>
        <w:pStyle w:val="Heading2"/>
        <w:rPr>
          <w:sz w:val="28"/>
          <w:szCs w:val="28"/>
        </w:rPr>
      </w:pPr>
      <w:r>
        <w:fldChar w:fldCharType="begin"/>
      </w:r>
      <w:r>
        <w:instrText xml:space="preserve"> HYPERLINK "https://nodis3.gsfc.nasa.gov/displayDir.cfm?Internal_ID=N_PR_9630_0001_&amp;page_name=AppendixA" </w:instrText>
      </w:r>
      <w:r>
        <w:fldChar w:fldCharType="separate"/>
      </w:r>
      <w:r w:rsidR="00DF115D" w:rsidRPr="008C1535">
        <w:rPr>
          <w:rStyle w:val="Hyperlink"/>
          <w:sz w:val="24"/>
          <w:szCs w:val="24"/>
        </w:rPr>
        <w:t>Appendix A. Acron</w:t>
      </w:r>
      <w:r w:rsidR="00E069DE">
        <w:rPr>
          <w:rStyle w:val="Hyperlink"/>
          <w:sz w:val="24"/>
          <w:szCs w:val="24"/>
        </w:rPr>
        <w:t>y</w:t>
      </w:r>
      <w:r w:rsidR="00DF115D" w:rsidRPr="008C1535">
        <w:rPr>
          <w:rStyle w:val="Hyperlink"/>
          <w:sz w:val="24"/>
          <w:szCs w:val="24"/>
        </w:rPr>
        <w:t>ms</w:t>
      </w:r>
      <w:r>
        <w:rPr>
          <w:rStyle w:val="Hyperlink"/>
          <w:sz w:val="24"/>
          <w:szCs w:val="24"/>
        </w:rPr>
        <w:fldChar w:fldCharType="end"/>
      </w:r>
      <w:r w:rsidR="007F5A0D" w:rsidRPr="00816981">
        <w:rPr>
          <w:rFonts w:cs="Arial"/>
          <w:b w:val="0"/>
          <w:bCs w:val="0"/>
          <w:kern w:val="36"/>
        </w:rPr>
        <w:fldChar w:fldCharType="end"/>
      </w:r>
    </w:p>
    <w:p w14:paraId="72F0F6DA" w14:textId="77777777" w:rsidR="008C1535" w:rsidRDefault="008C1535" w:rsidP="008C1535">
      <w:pPr>
        <w:pStyle w:val="NPR10"/>
        <w:numPr>
          <w:ilvl w:val="0"/>
          <w:numId w:val="0"/>
        </w:numPr>
        <w:sectPr w:rsidR="008C1535" w:rsidSect="00BC0024">
          <w:footerReference w:type="default" r:id="rId11"/>
          <w:pgSz w:w="12240" w:h="15840"/>
          <w:pgMar w:top="1440" w:right="1440" w:bottom="1440" w:left="1440" w:header="720" w:footer="720" w:gutter="0"/>
          <w:cols w:space="720"/>
          <w:titlePg/>
          <w:docGrid w:linePitch="360"/>
        </w:sectPr>
      </w:pPr>
      <w:bookmarkStart w:id="1" w:name="_Toc326759098"/>
      <w:bookmarkStart w:id="2" w:name="_Toc482711880"/>
    </w:p>
    <w:p w14:paraId="74316D11" w14:textId="2C52DE97" w:rsidR="008C1535" w:rsidRDefault="008C1535" w:rsidP="008C1535">
      <w:pPr>
        <w:pStyle w:val="NPR10"/>
        <w:numPr>
          <w:ilvl w:val="0"/>
          <w:numId w:val="0"/>
        </w:numPr>
      </w:pPr>
      <w:r>
        <w:lastRenderedPageBreak/>
        <w:t>PREFACE</w:t>
      </w:r>
    </w:p>
    <w:p w14:paraId="6D1F5117" w14:textId="6F4CE671" w:rsidR="00E40DE0" w:rsidRPr="00816981" w:rsidRDefault="00E40DE0" w:rsidP="00C92355">
      <w:pPr>
        <w:pStyle w:val="Preface2"/>
        <w:rPr>
          <w:sz w:val="24"/>
          <w:szCs w:val="24"/>
        </w:rPr>
      </w:pPr>
      <w:r w:rsidRPr="00816981">
        <w:rPr>
          <w:sz w:val="24"/>
          <w:szCs w:val="24"/>
        </w:rPr>
        <w:t>P.1</w:t>
      </w:r>
      <w:r w:rsidRPr="00816981">
        <w:t xml:space="preserve"> </w:t>
      </w:r>
      <w:r w:rsidRPr="00816981">
        <w:rPr>
          <w:sz w:val="24"/>
          <w:szCs w:val="24"/>
        </w:rPr>
        <w:t>P</w:t>
      </w:r>
      <w:r w:rsidR="00C45A15" w:rsidRPr="00816981">
        <w:rPr>
          <w:sz w:val="24"/>
          <w:szCs w:val="24"/>
        </w:rPr>
        <w:t>urpose</w:t>
      </w:r>
      <w:bookmarkEnd w:id="1"/>
      <w:bookmarkEnd w:id="2"/>
      <w:r w:rsidR="00C45A15" w:rsidRPr="00816981">
        <w:rPr>
          <w:sz w:val="24"/>
          <w:szCs w:val="24"/>
        </w:rPr>
        <w:t xml:space="preserve"> </w:t>
      </w:r>
    </w:p>
    <w:p w14:paraId="6576D06C" w14:textId="42F9789F" w:rsidR="00E40DE0" w:rsidRPr="00816981" w:rsidRDefault="00E40DE0" w:rsidP="00B56C52">
      <w:pPr>
        <w:rPr>
          <w:b/>
          <w:caps/>
        </w:rPr>
      </w:pPr>
      <w:r w:rsidRPr="00816981">
        <w:t>This National Aeronautics and Space Administration (NASA) Procedural Requirement</w:t>
      </w:r>
      <w:r w:rsidR="000D2347" w:rsidRPr="00816981">
        <w:t>s</w:t>
      </w:r>
      <w:r w:rsidRPr="00816981">
        <w:t xml:space="preserve"> (NPR) provides the financial management requirements</w:t>
      </w:r>
      <w:r w:rsidR="004034CE">
        <w:t>, to include authorizations and allowances,</w:t>
      </w:r>
      <w:r w:rsidRPr="00816981">
        <w:t xml:space="preserve"> for </w:t>
      </w:r>
      <w:r w:rsidR="002A4E29" w:rsidRPr="00816981">
        <w:t>e</w:t>
      </w:r>
      <w:r w:rsidR="005735A2" w:rsidRPr="00816981">
        <w:t>xtended Temporary Duty Travel</w:t>
      </w:r>
      <w:r w:rsidR="002A4E29" w:rsidRPr="00816981">
        <w:t xml:space="preserve"> (TDY)</w:t>
      </w:r>
      <w:r w:rsidR="004034CE">
        <w:t xml:space="preserve"> in accordance with the Federal Travel Regulations (FTR) Systems, 41 Code of Federal Regulations Subtitle F, and NASA policy, procedures, and guidance</w:t>
      </w:r>
      <w:r w:rsidRPr="00816981">
        <w:t>.</w:t>
      </w:r>
    </w:p>
    <w:p w14:paraId="1A269CD3" w14:textId="77777777" w:rsidR="00E40DE0" w:rsidRPr="00816981" w:rsidRDefault="00E40DE0" w:rsidP="00C65DC1">
      <w:pPr>
        <w:pStyle w:val="Preface2"/>
        <w:rPr>
          <w:sz w:val="24"/>
          <w:szCs w:val="24"/>
        </w:rPr>
      </w:pPr>
      <w:bookmarkStart w:id="3" w:name="_Toc326759099"/>
      <w:bookmarkStart w:id="4" w:name="_Toc482711881"/>
      <w:r w:rsidRPr="00816981">
        <w:rPr>
          <w:sz w:val="24"/>
          <w:szCs w:val="24"/>
        </w:rPr>
        <w:t>P.2 A</w:t>
      </w:r>
      <w:r w:rsidR="00C45A15" w:rsidRPr="00816981">
        <w:rPr>
          <w:sz w:val="24"/>
          <w:szCs w:val="24"/>
        </w:rPr>
        <w:t>pplicability</w:t>
      </w:r>
      <w:bookmarkEnd w:id="3"/>
      <w:bookmarkEnd w:id="4"/>
    </w:p>
    <w:p w14:paraId="69B07113" w14:textId="55235476" w:rsidR="004034CE" w:rsidRPr="00816981" w:rsidRDefault="00C65DC1">
      <w:pPr>
        <w:pStyle w:val="ListParagraph"/>
        <w:numPr>
          <w:ilvl w:val="0"/>
          <w:numId w:val="12"/>
        </w:numPr>
        <w:tabs>
          <w:tab w:val="left" w:pos="360"/>
        </w:tabs>
        <w:spacing w:after="120" w:line="240" w:lineRule="auto"/>
        <w:ind w:left="0" w:firstLine="0"/>
        <w:contextualSpacing w:val="0"/>
      </w:pPr>
      <w:bookmarkStart w:id="5" w:name="_Hlk150927133"/>
      <w:r w:rsidRPr="00816981">
        <w:t xml:space="preserve">This NPR </w:t>
      </w:r>
      <w:r w:rsidR="005155B4" w:rsidRPr="00816981">
        <w:t xml:space="preserve">is </w:t>
      </w:r>
      <w:r w:rsidR="00E40DE0" w:rsidRPr="00816981">
        <w:t>applicable to NASA Headquarters and NASA Centers, including Component Facilities and Technical and Service Support Centers.  This language applies to other contractors, grant recipients, or parties to agreements only to the extent specified or referenced in the appropriate contracts, grants, or agreements.</w:t>
      </w:r>
      <w:r w:rsidR="00A93F0E">
        <w:t xml:space="preserve"> </w:t>
      </w:r>
      <w:r w:rsidR="00E40DE0" w:rsidRPr="00816981">
        <w:t>In this NPR, all document citations are assumed to be the latest version unless otherwise noted.</w:t>
      </w:r>
      <w:r w:rsidR="00A93F0E">
        <w:t xml:space="preserve"> </w:t>
      </w:r>
      <w:r w:rsidR="00E40DE0" w:rsidRPr="00816981">
        <w:t xml:space="preserve">In this NPR, all mandatory actions (i.e., requirements) are denoted by </w:t>
      </w:r>
      <w:r w:rsidR="00830C71" w:rsidRPr="00816981">
        <w:t>statements containing the term “shall.”</w:t>
      </w:r>
      <w:r w:rsidR="00E40DE0" w:rsidRPr="00816981">
        <w:t xml:space="preserve"> </w:t>
      </w:r>
      <w:r w:rsidR="00830C71" w:rsidRPr="00816981">
        <w:t xml:space="preserve"> </w:t>
      </w:r>
      <w:r w:rsidR="00E40DE0" w:rsidRPr="00816981">
        <w:t>The terms</w:t>
      </w:r>
      <w:r w:rsidR="00F61B74" w:rsidRPr="00816981">
        <w:t>:</w:t>
      </w:r>
      <w:r w:rsidR="00F61B74">
        <w:t xml:space="preserve"> </w:t>
      </w:r>
      <w:r w:rsidR="00F61B74" w:rsidRPr="00816981">
        <w:t>“</w:t>
      </w:r>
      <w:r w:rsidR="00830C71" w:rsidRPr="00816981">
        <w:t xml:space="preserve">may” </w:t>
      </w:r>
      <w:r w:rsidR="00E40DE0" w:rsidRPr="00816981">
        <w:t>denote discreti</w:t>
      </w:r>
      <w:r w:rsidR="001573A7" w:rsidRPr="00816981">
        <w:t xml:space="preserve">onary privilege or permission, </w:t>
      </w:r>
      <w:r w:rsidR="004034CE">
        <w:t xml:space="preserve">“can” denotes statements of possibility or capability, </w:t>
      </w:r>
      <w:r w:rsidR="001573A7" w:rsidRPr="00816981">
        <w:t>“should”</w:t>
      </w:r>
      <w:r w:rsidR="00E40DE0" w:rsidRPr="00816981">
        <w:t xml:space="preserve"> denotes a good </w:t>
      </w:r>
      <w:r w:rsidR="00F61B74" w:rsidRPr="00816981">
        <w:t>practice,</w:t>
      </w:r>
      <w:r w:rsidR="00E40DE0" w:rsidRPr="00816981">
        <w:t xml:space="preserve"> and is recomme</w:t>
      </w:r>
      <w:r w:rsidR="001573A7" w:rsidRPr="00816981">
        <w:t>nded, but not required, “will”</w:t>
      </w:r>
      <w:r w:rsidR="001A6A6B" w:rsidRPr="00816981">
        <w:t xml:space="preserve"> denotes expected outcome, and “are/is”</w:t>
      </w:r>
      <w:r w:rsidR="004E5AA7" w:rsidRPr="00816981">
        <w:t xml:space="preserve"> denote</w:t>
      </w:r>
      <w:r w:rsidR="0002612B">
        <w:t>s</w:t>
      </w:r>
      <w:r w:rsidR="00E40DE0" w:rsidRPr="00816981">
        <w:t xml:space="preserve"> descriptive material.</w:t>
      </w:r>
      <w:r w:rsidR="00A93F0E">
        <w:t xml:space="preserve"> </w:t>
      </w:r>
      <w:r w:rsidR="004034CE">
        <w:t>In this NPR, extended TDY (ETDY) is defined as travel lasting in duration of 31 or more calendar days at the same location.</w:t>
      </w:r>
    </w:p>
    <w:p w14:paraId="40B7FCCF" w14:textId="4179094F" w:rsidR="00E40DE0" w:rsidRDefault="00E40DE0" w:rsidP="006B32FF">
      <w:pPr>
        <w:pStyle w:val="Preface2"/>
        <w:rPr>
          <w:sz w:val="24"/>
          <w:szCs w:val="24"/>
        </w:rPr>
      </w:pPr>
      <w:bookmarkStart w:id="6" w:name="_Toc326759100"/>
      <w:bookmarkStart w:id="7" w:name="_Toc482711882"/>
      <w:bookmarkEnd w:id="5"/>
      <w:r w:rsidRPr="00816981">
        <w:rPr>
          <w:sz w:val="24"/>
          <w:szCs w:val="24"/>
        </w:rPr>
        <w:t>P.3 A</w:t>
      </w:r>
      <w:r w:rsidR="001573A7" w:rsidRPr="00816981">
        <w:rPr>
          <w:sz w:val="24"/>
          <w:szCs w:val="24"/>
        </w:rPr>
        <w:t>uthority</w:t>
      </w:r>
      <w:bookmarkEnd w:id="6"/>
      <w:bookmarkEnd w:id="7"/>
      <w:r w:rsidR="001573A7" w:rsidRPr="00816981">
        <w:rPr>
          <w:sz w:val="24"/>
          <w:szCs w:val="24"/>
        </w:rPr>
        <w:t xml:space="preserve"> </w:t>
      </w:r>
    </w:p>
    <w:p w14:paraId="0B6FC9BD" w14:textId="7E803C0A" w:rsidR="006174FE" w:rsidRDefault="006174FE">
      <w:pPr>
        <w:pStyle w:val="NPRLista"/>
        <w:numPr>
          <w:ilvl w:val="0"/>
          <w:numId w:val="17"/>
        </w:numPr>
        <w:ind w:left="0" w:firstLine="0"/>
      </w:pPr>
      <w:r>
        <w:t>Travel, Transportation, and Subsistence, 5 United States Code (U.S.C.) Ch. 57</w:t>
      </w:r>
      <w:r w:rsidR="002E7FAC">
        <w:t>.</w:t>
      </w:r>
      <w:r>
        <w:t xml:space="preserve"> </w:t>
      </w:r>
    </w:p>
    <w:p w14:paraId="5A9B0045" w14:textId="25DD7D38" w:rsidR="006174FE" w:rsidRDefault="006174FE">
      <w:pPr>
        <w:pStyle w:val="NPRLista"/>
      </w:pPr>
      <w:bookmarkStart w:id="8" w:name="_Hlk154035472"/>
      <w:bookmarkStart w:id="9" w:name="_Hlk153287333"/>
      <w:r>
        <w:t>Federal Travel Regulations (FTR), 4</w:t>
      </w:r>
      <w:r w:rsidR="009822BA">
        <w:t>1</w:t>
      </w:r>
      <w:r>
        <w:t xml:space="preserve"> Code of Federal Regulations (CFR) Ch., 301</w:t>
      </w:r>
      <w:bookmarkEnd w:id="8"/>
      <w:r w:rsidR="005C5801">
        <w:t>.</w:t>
      </w:r>
    </w:p>
    <w:p w14:paraId="2F818DA8" w14:textId="33CCB6EC" w:rsidR="00BB3AB6" w:rsidRDefault="002E7FAC">
      <w:pPr>
        <w:pStyle w:val="NPRLista"/>
      </w:pPr>
      <w:r w:rsidRPr="002E7FAC">
        <w:t>Transportation Expenses</w:t>
      </w:r>
      <w:r>
        <w:t>,</w:t>
      </w:r>
      <w:r w:rsidR="00BB3AB6">
        <w:t xml:space="preserve"> 41 CFR Ch., 301-10</w:t>
      </w:r>
      <w:r>
        <w:t>.</w:t>
      </w:r>
    </w:p>
    <w:p w14:paraId="6E923AA5" w14:textId="7A4B5B40" w:rsidR="00EC7220" w:rsidRDefault="002E7FAC">
      <w:pPr>
        <w:pStyle w:val="NPRLista"/>
      </w:pPr>
      <w:r w:rsidRPr="002E7FAC">
        <w:t>Miscellaneous Expenses</w:t>
      </w:r>
      <w:r>
        <w:t xml:space="preserve">, </w:t>
      </w:r>
      <w:r w:rsidR="00EC7220">
        <w:t>41 CFR Ch., 301-12</w:t>
      </w:r>
      <w:r>
        <w:t>.</w:t>
      </w:r>
    </w:p>
    <w:p w14:paraId="116F4D9B" w14:textId="0CB85FCA" w:rsidR="00EC7220" w:rsidRDefault="002E7FAC">
      <w:pPr>
        <w:pStyle w:val="NPRLista"/>
      </w:pPr>
      <w:r w:rsidRPr="002E7FAC">
        <w:t xml:space="preserve">Taxes on Relocation Expenses </w:t>
      </w:r>
      <w:r w:rsidR="00EC7220">
        <w:t>41 CFR Ch. 302-17</w:t>
      </w:r>
      <w:r>
        <w:t>.</w:t>
      </w:r>
      <w:r w:rsidR="00EC7220">
        <w:t xml:space="preserve"> </w:t>
      </w:r>
    </w:p>
    <w:p w14:paraId="2770C69B" w14:textId="4A4DDAC4" w:rsidR="00E40DE0" w:rsidRPr="00EE77BA" w:rsidRDefault="00E40DE0" w:rsidP="00B953CB">
      <w:pPr>
        <w:pStyle w:val="Preface2"/>
        <w:keepNext/>
        <w:rPr>
          <w:sz w:val="24"/>
          <w:szCs w:val="24"/>
        </w:rPr>
      </w:pPr>
      <w:bookmarkStart w:id="10" w:name="_Toc326759101"/>
      <w:bookmarkStart w:id="11" w:name="_Toc482711883"/>
      <w:bookmarkEnd w:id="9"/>
      <w:r w:rsidRPr="00EE77BA">
        <w:rPr>
          <w:rFonts w:eastAsia="Calibri"/>
          <w:sz w:val="24"/>
          <w:szCs w:val="24"/>
        </w:rPr>
        <w:t>P.4 A</w:t>
      </w:r>
      <w:r w:rsidR="001573A7" w:rsidRPr="00EE77BA">
        <w:rPr>
          <w:rFonts w:eastAsia="Calibri"/>
          <w:sz w:val="24"/>
          <w:szCs w:val="24"/>
        </w:rPr>
        <w:t>pplicable</w:t>
      </w:r>
      <w:r w:rsidRPr="00EE77BA">
        <w:rPr>
          <w:rFonts w:eastAsia="Calibri"/>
          <w:sz w:val="24"/>
          <w:szCs w:val="24"/>
        </w:rPr>
        <w:t xml:space="preserve"> D</w:t>
      </w:r>
      <w:r w:rsidR="001573A7" w:rsidRPr="00EE77BA">
        <w:rPr>
          <w:rFonts w:eastAsia="Calibri"/>
          <w:sz w:val="24"/>
          <w:szCs w:val="24"/>
        </w:rPr>
        <w:t>ocuments</w:t>
      </w:r>
      <w:r w:rsidRPr="00EE77BA">
        <w:rPr>
          <w:rFonts w:eastAsia="Calibri"/>
          <w:sz w:val="24"/>
          <w:szCs w:val="24"/>
        </w:rPr>
        <w:t xml:space="preserve"> </w:t>
      </w:r>
      <w:r w:rsidR="001573A7" w:rsidRPr="00EE77BA">
        <w:rPr>
          <w:rFonts w:eastAsia="Calibri"/>
          <w:sz w:val="24"/>
          <w:szCs w:val="24"/>
        </w:rPr>
        <w:t>and</w:t>
      </w:r>
      <w:r w:rsidRPr="00EE77BA">
        <w:rPr>
          <w:rFonts w:eastAsia="Calibri"/>
          <w:sz w:val="24"/>
          <w:szCs w:val="24"/>
        </w:rPr>
        <w:t xml:space="preserve"> F</w:t>
      </w:r>
      <w:r w:rsidR="001573A7" w:rsidRPr="00EE77BA">
        <w:rPr>
          <w:rFonts w:eastAsia="Calibri"/>
          <w:sz w:val="24"/>
          <w:szCs w:val="24"/>
        </w:rPr>
        <w:t>orms</w:t>
      </w:r>
      <w:bookmarkEnd w:id="10"/>
      <w:bookmarkEnd w:id="11"/>
    </w:p>
    <w:p w14:paraId="0391C8CD" w14:textId="77777777" w:rsidR="005C5801" w:rsidRDefault="005C5801" w:rsidP="003157DF">
      <w:pPr>
        <w:pStyle w:val="NPRLista"/>
        <w:numPr>
          <w:ilvl w:val="0"/>
          <w:numId w:val="13"/>
        </w:numPr>
        <w:spacing w:after="0" w:line="360" w:lineRule="auto"/>
        <w:ind w:left="0" w:firstLine="0"/>
      </w:pPr>
      <w:bookmarkStart w:id="12" w:name="_Hlk153285623"/>
      <w:r w:rsidRPr="005C5801">
        <w:t>Regulations and report, 5 U.S.C. § 5707</w:t>
      </w:r>
      <w:r>
        <w:t>.</w:t>
      </w:r>
    </w:p>
    <w:p w14:paraId="61C7B02F" w14:textId="3E725A33" w:rsidR="000B4191" w:rsidRDefault="002E7FAC" w:rsidP="003157DF">
      <w:pPr>
        <w:pStyle w:val="NPRLista"/>
        <w:numPr>
          <w:ilvl w:val="0"/>
          <w:numId w:val="13"/>
        </w:numPr>
        <w:spacing w:after="0" w:line="360" w:lineRule="auto"/>
        <w:ind w:left="0" w:firstLine="0"/>
      </w:pPr>
      <w:r w:rsidRPr="002E7FAC">
        <w:t>Temporary Duty (TDY) Travel Allowances</w:t>
      </w:r>
      <w:r>
        <w:t xml:space="preserve">, </w:t>
      </w:r>
      <w:r w:rsidR="000B4191" w:rsidRPr="006C44F9">
        <w:t>41 CFR Ch</w:t>
      </w:r>
      <w:r>
        <w:t>.</w:t>
      </w:r>
      <w:r w:rsidR="000B4191" w:rsidRPr="006C44F9">
        <w:t xml:space="preserve"> 301</w:t>
      </w:r>
      <w:r>
        <w:t>.</w:t>
      </w:r>
      <w:r w:rsidR="000B4191" w:rsidRPr="006C44F9">
        <w:t xml:space="preserve"> </w:t>
      </w:r>
    </w:p>
    <w:p w14:paraId="43FB2EB8" w14:textId="397B51F6" w:rsidR="003157DF" w:rsidRDefault="003157DF" w:rsidP="003157DF">
      <w:pPr>
        <w:pStyle w:val="NPRLista"/>
        <w:spacing w:after="0" w:line="360" w:lineRule="auto"/>
      </w:pPr>
      <w:r w:rsidRPr="003157DF">
        <w:t>Internal Policy and Procedure Requirements, 41 CFR Ch. 301-70.</w:t>
      </w:r>
    </w:p>
    <w:p w14:paraId="16A91DB5" w14:textId="715AF5CC" w:rsidR="00EC7220" w:rsidRDefault="002E7FAC" w:rsidP="003157DF">
      <w:pPr>
        <w:pStyle w:val="NPRLista"/>
        <w:spacing w:after="0" w:line="360" w:lineRule="auto"/>
      </w:pPr>
      <w:r w:rsidRPr="002E7FAC">
        <w:t>Relocation Allowances</w:t>
      </w:r>
      <w:r>
        <w:t xml:space="preserve">, </w:t>
      </w:r>
      <w:r w:rsidR="00EC7220">
        <w:t>41 CFR Ch</w:t>
      </w:r>
      <w:r>
        <w:t>.</w:t>
      </w:r>
      <w:r w:rsidR="00EC7220">
        <w:t xml:space="preserve"> 302</w:t>
      </w:r>
      <w:r>
        <w:t>.</w:t>
      </w:r>
    </w:p>
    <w:p w14:paraId="08D72A5D" w14:textId="561AD671" w:rsidR="003157DF" w:rsidRDefault="003157DF" w:rsidP="003157DF">
      <w:pPr>
        <w:pStyle w:val="NPRLista"/>
        <w:spacing w:after="0" w:line="360" w:lineRule="auto"/>
      </w:pPr>
      <w:r w:rsidRPr="003157DF">
        <w:t>Taxes on Relocation Expenses 41 CFR Ch. 302-17</w:t>
      </w:r>
    </w:p>
    <w:p w14:paraId="1CF97680" w14:textId="09EEBA69" w:rsidR="000B4191" w:rsidRDefault="000B4191" w:rsidP="003157DF">
      <w:pPr>
        <w:pStyle w:val="NPRLista"/>
        <w:spacing w:after="0" w:line="360" w:lineRule="auto"/>
      </w:pPr>
      <w:r>
        <w:t>NPD 9010.2, Financial Management</w:t>
      </w:r>
      <w:r w:rsidR="002E7FAC">
        <w:t>.</w:t>
      </w:r>
    </w:p>
    <w:bookmarkEnd w:id="12"/>
    <w:p w14:paraId="6EC2CD16" w14:textId="2CE8E7E8" w:rsidR="000B4191" w:rsidRDefault="000B4191" w:rsidP="003157DF">
      <w:pPr>
        <w:pStyle w:val="NPRLista"/>
        <w:spacing w:after="0" w:line="360" w:lineRule="auto"/>
      </w:pPr>
      <w:r>
        <w:lastRenderedPageBreak/>
        <w:t>NPD 9710.1, Delegation of Authority – To Authorize or Approve Temporary Duty Travel on Official Business and Related Matters.</w:t>
      </w:r>
    </w:p>
    <w:p w14:paraId="7E15866B" w14:textId="44415975" w:rsidR="000B4191" w:rsidRDefault="000B4191" w:rsidP="003157DF">
      <w:pPr>
        <w:pStyle w:val="NPRLista"/>
        <w:spacing w:after="0" w:line="360" w:lineRule="auto"/>
      </w:pPr>
      <w:r>
        <w:t>NPR 9710.1, General Travel Requirements.</w:t>
      </w:r>
    </w:p>
    <w:p w14:paraId="1A11A450" w14:textId="28B646F5" w:rsidR="000B4191" w:rsidRDefault="003157DF" w:rsidP="003157DF">
      <w:pPr>
        <w:pStyle w:val="NPRLista"/>
        <w:numPr>
          <w:ilvl w:val="0"/>
          <w:numId w:val="0"/>
        </w:numPr>
        <w:tabs>
          <w:tab w:val="clear" w:pos="360"/>
        </w:tabs>
        <w:spacing w:after="0" w:line="360" w:lineRule="auto"/>
      </w:pPr>
      <w:r>
        <w:t>h</w:t>
      </w:r>
      <w:r w:rsidR="005C5801">
        <w:t xml:space="preserve">.   </w:t>
      </w:r>
      <w:r w:rsidR="000B4191">
        <w:t>NPR 9730.1, Travel Cards.</w:t>
      </w:r>
    </w:p>
    <w:p w14:paraId="59A24EC3" w14:textId="4DC6A4E3" w:rsidR="003157DF" w:rsidRDefault="000B4191" w:rsidP="003157DF">
      <w:pPr>
        <w:pStyle w:val="NPRLista"/>
        <w:numPr>
          <w:ilvl w:val="0"/>
          <w:numId w:val="30"/>
        </w:numPr>
        <w:spacing w:after="0" w:line="360" w:lineRule="auto"/>
        <w:ind w:left="0" w:firstLine="0"/>
      </w:pPr>
      <w:r>
        <w:t>U.S. Individual</w:t>
      </w:r>
      <w:r w:rsidR="005C5801" w:rsidRPr="005C5801">
        <w:t xml:space="preserve"> IRS</w:t>
      </w:r>
      <w:r>
        <w:t xml:space="preserve"> Income Tax Form 1040.</w:t>
      </w:r>
    </w:p>
    <w:p w14:paraId="2B329154" w14:textId="77777777" w:rsidR="003157DF" w:rsidRDefault="003157DF" w:rsidP="003157DF">
      <w:pPr>
        <w:pStyle w:val="NPRLista"/>
        <w:numPr>
          <w:ilvl w:val="0"/>
          <w:numId w:val="30"/>
        </w:numPr>
        <w:spacing w:after="0" w:line="360" w:lineRule="auto"/>
        <w:ind w:left="0" w:firstLine="0"/>
      </w:pPr>
      <w:r w:rsidRPr="003157DF">
        <w:t xml:space="preserve">Internal Revenue Service (IRS) </w:t>
      </w:r>
      <w:r>
        <w:t>P</w:t>
      </w:r>
      <w:r w:rsidRPr="003157DF">
        <w:t>ublication 463</w:t>
      </w:r>
      <w:r>
        <w:t>.</w:t>
      </w:r>
    </w:p>
    <w:p w14:paraId="18AFDD03" w14:textId="7C8F9420" w:rsidR="003157DF" w:rsidRDefault="003157DF" w:rsidP="003157DF">
      <w:pPr>
        <w:pStyle w:val="NPRLista"/>
        <w:numPr>
          <w:ilvl w:val="0"/>
          <w:numId w:val="30"/>
        </w:numPr>
        <w:spacing w:after="0" w:line="360" w:lineRule="auto"/>
        <w:ind w:left="0" w:firstLine="0"/>
      </w:pPr>
      <w:r w:rsidRPr="003157DF">
        <w:t>IRS Chief Counsel Advice Memorandum 200026025</w:t>
      </w:r>
      <w:r>
        <w:t>.</w:t>
      </w:r>
    </w:p>
    <w:p w14:paraId="3AE46F31" w14:textId="3F6106C7" w:rsidR="001C026F" w:rsidRPr="00816981" w:rsidRDefault="00E40DE0" w:rsidP="00E061CD">
      <w:pPr>
        <w:pStyle w:val="Preface2"/>
        <w:rPr>
          <w:sz w:val="24"/>
          <w:szCs w:val="24"/>
        </w:rPr>
      </w:pPr>
      <w:bookmarkStart w:id="13" w:name="_Toc326759102"/>
      <w:bookmarkStart w:id="14" w:name="_Toc482711884"/>
      <w:r w:rsidRPr="00816981">
        <w:rPr>
          <w:sz w:val="24"/>
          <w:szCs w:val="24"/>
        </w:rPr>
        <w:t>P.5 M</w:t>
      </w:r>
      <w:r w:rsidR="001573A7" w:rsidRPr="00816981">
        <w:rPr>
          <w:sz w:val="24"/>
          <w:szCs w:val="24"/>
        </w:rPr>
        <w:t>easurement</w:t>
      </w:r>
      <w:r w:rsidRPr="00816981">
        <w:rPr>
          <w:sz w:val="24"/>
          <w:szCs w:val="24"/>
        </w:rPr>
        <w:t>/V</w:t>
      </w:r>
      <w:r w:rsidR="001573A7" w:rsidRPr="00816981">
        <w:rPr>
          <w:sz w:val="24"/>
          <w:szCs w:val="24"/>
        </w:rPr>
        <w:t>erification</w:t>
      </w:r>
      <w:bookmarkEnd w:id="13"/>
      <w:bookmarkEnd w:id="14"/>
    </w:p>
    <w:p w14:paraId="688A87DC" w14:textId="77777777" w:rsidR="00E40DE0" w:rsidRPr="00816981" w:rsidRDefault="00E40DE0" w:rsidP="00B56C52">
      <w:pPr>
        <w:pStyle w:val="NormalWeb"/>
        <w:spacing w:before="0" w:beforeAutospacing="0" w:after="240" w:afterAutospacing="0"/>
      </w:pPr>
      <w:r w:rsidRPr="00816981">
        <w:t>Quality assurance reviews and analysis of financial and budgetary reports and data submitted through the continuous monitoring program will be used to measure compliance with this NPR.</w:t>
      </w:r>
    </w:p>
    <w:p w14:paraId="5EB38EF0" w14:textId="23D43B20" w:rsidR="000461BA" w:rsidRPr="00816981" w:rsidRDefault="00E40DE0" w:rsidP="00461456">
      <w:pPr>
        <w:pStyle w:val="Preface2"/>
      </w:pPr>
      <w:bookmarkStart w:id="15" w:name="_Toc326759103"/>
      <w:r w:rsidRPr="00816981">
        <w:rPr>
          <w:sz w:val="24"/>
          <w:szCs w:val="24"/>
        </w:rPr>
        <w:t>P.6 C</w:t>
      </w:r>
      <w:r w:rsidR="001573A7" w:rsidRPr="00816981">
        <w:rPr>
          <w:sz w:val="24"/>
          <w:szCs w:val="24"/>
        </w:rPr>
        <w:t>ancellation</w:t>
      </w:r>
      <w:bookmarkEnd w:id="15"/>
      <w:r w:rsidRPr="00816981">
        <w:rPr>
          <w:sz w:val="24"/>
          <w:szCs w:val="24"/>
        </w:rPr>
        <w:t xml:space="preserve"> </w:t>
      </w:r>
    </w:p>
    <w:p w14:paraId="297F6B86" w14:textId="77777777" w:rsidR="00E40DE0" w:rsidRPr="00816981" w:rsidRDefault="0054768C" w:rsidP="00D162E0">
      <w:pPr>
        <w:pStyle w:val="NormalWeb"/>
        <w:spacing w:before="0" w:beforeAutospacing="0" w:after="0" w:afterAutospacing="0"/>
        <w:rPr>
          <w:color w:val="000000"/>
        </w:rPr>
      </w:pPr>
      <w:r w:rsidRPr="00816981">
        <w:rPr>
          <w:color w:val="000000"/>
        </w:rPr>
        <w:t>None</w:t>
      </w:r>
      <w:r w:rsidR="000461BA" w:rsidRPr="00816981">
        <w:rPr>
          <w:color w:val="000000"/>
        </w:rPr>
        <w:t>.</w:t>
      </w:r>
    </w:p>
    <w:p w14:paraId="184CC175" w14:textId="77777777" w:rsidR="00617F41" w:rsidRPr="00816981" w:rsidRDefault="00617F41" w:rsidP="00D162E0">
      <w:pPr>
        <w:pStyle w:val="NormalWeb"/>
        <w:spacing w:before="0" w:beforeAutospacing="0" w:after="0" w:afterAutospacing="0"/>
        <w:rPr>
          <w:color w:val="000000"/>
        </w:rPr>
      </w:pPr>
    </w:p>
    <w:p w14:paraId="53A66DCF" w14:textId="77777777" w:rsidR="003B5836" w:rsidRPr="00816981" w:rsidRDefault="003B5836" w:rsidP="00D162E0">
      <w:pPr>
        <w:pStyle w:val="NormalWeb"/>
        <w:spacing w:before="0" w:beforeAutospacing="0" w:after="0" w:afterAutospacing="0"/>
        <w:rPr>
          <w:color w:val="000000"/>
        </w:rPr>
      </w:pPr>
    </w:p>
    <w:p w14:paraId="32CF82E7" w14:textId="77777777" w:rsidR="00E40DE0" w:rsidRPr="00816981" w:rsidRDefault="00E40DE0" w:rsidP="00B56C52">
      <w:pPr>
        <w:autoSpaceDE w:val="0"/>
        <w:autoSpaceDN w:val="0"/>
        <w:adjustRightInd w:val="0"/>
        <w:rPr>
          <w:b/>
          <w:bCs/>
          <w:color w:val="000000"/>
        </w:rPr>
      </w:pPr>
    </w:p>
    <w:p w14:paraId="5DDDB68D" w14:textId="77777777" w:rsidR="00E40DE0" w:rsidRPr="00816981" w:rsidRDefault="00E40DE0" w:rsidP="00B56C52">
      <w:pPr>
        <w:autoSpaceDE w:val="0"/>
        <w:autoSpaceDN w:val="0"/>
        <w:adjustRightInd w:val="0"/>
        <w:rPr>
          <w:b/>
          <w:bCs/>
          <w:color w:val="000000"/>
        </w:rPr>
        <w:sectPr w:rsidR="00E40DE0" w:rsidRPr="00816981" w:rsidSect="00BC0024">
          <w:pgSz w:w="12240" w:h="15840"/>
          <w:pgMar w:top="1440" w:right="1440" w:bottom="1440" w:left="1440" w:header="720" w:footer="720" w:gutter="0"/>
          <w:cols w:space="720"/>
          <w:titlePg/>
          <w:docGrid w:linePitch="360"/>
        </w:sectPr>
      </w:pPr>
    </w:p>
    <w:p w14:paraId="1DB128E0" w14:textId="77777777" w:rsidR="00E40DE0" w:rsidRPr="00816981" w:rsidRDefault="007417A3">
      <w:pPr>
        <w:pStyle w:val="NPR10"/>
        <w:numPr>
          <w:ilvl w:val="0"/>
          <w:numId w:val="10"/>
        </w:numPr>
      </w:pPr>
      <w:bookmarkStart w:id="16" w:name="_Toc482711885"/>
      <w:r w:rsidRPr="00816981">
        <w:lastRenderedPageBreak/>
        <w:t>General Overview</w:t>
      </w:r>
      <w:bookmarkEnd w:id="16"/>
    </w:p>
    <w:p w14:paraId="3079D133" w14:textId="77777777" w:rsidR="00E40DE0" w:rsidRPr="00816981" w:rsidRDefault="00E40DE0">
      <w:pPr>
        <w:pStyle w:val="NPR2"/>
      </w:pPr>
      <w:bookmarkStart w:id="17" w:name="_Toc326759105"/>
      <w:bookmarkStart w:id="18" w:name="_Toc482711886"/>
      <w:r w:rsidRPr="00816981">
        <w:t>Overview</w:t>
      </w:r>
      <w:bookmarkEnd w:id="17"/>
      <w:bookmarkEnd w:id="18"/>
    </w:p>
    <w:p w14:paraId="4C5B515E" w14:textId="5FBDC8E0" w:rsidR="00C00D92" w:rsidRPr="00816981" w:rsidRDefault="00C00D92">
      <w:pPr>
        <w:pStyle w:val="NPR3"/>
      </w:pPr>
      <w:r w:rsidRPr="00816981">
        <w:t xml:space="preserve">This NPR provides the </w:t>
      </w:r>
      <w:r w:rsidR="00A300EA">
        <w:t xml:space="preserve">financial management </w:t>
      </w:r>
      <w:r w:rsidR="00EC7220">
        <w:t xml:space="preserve">and </w:t>
      </w:r>
      <w:r w:rsidR="00EC7220" w:rsidRPr="00816981">
        <w:t>travel</w:t>
      </w:r>
      <w:r w:rsidRPr="00816981">
        <w:t xml:space="preserve"> provision</w:t>
      </w:r>
      <w:r w:rsidR="00A300EA">
        <w:t xml:space="preserve"> requirement</w:t>
      </w:r>
      <w:r w:rsidRPr="00816981">
        <w:t xml:space="preserve">s </w:t>
      </w:r>
      <w:r w:rsidR="00A300EA">
        <w:t xml:space="preserve">specific </w:t>
      </w:r>
      <w:r w:rsidR="00822124">
        <w:t xml:space="preserve">to </w:t>
      </w:r>
      <w:r w:rsidR="00822124" w:rsidRPr="00816981">
        <w:t>NASA</w:t>
      </w:r>
      <w:r w:rsidRPr="00816981">
        <w:t xml:space="preserve"> extended </w:t>
      </w:r>
      <w:r w:rsidR="002A4E29" w:rsidRPr="00816981">
        <w:t>TDY</w:t>
      </w:r>
      <w:r w:rsidR="00A300EA">
        <w:t>, such as the authorization and approval for</w:t>
      </w:r>
      <w:r w:rsidRPr="00816981">
        <w:t xml:space="preserve"> travel</w:t>
      </w:r>
      <w:r w:rsidR="00A300EA">
        <w:t xml:space="preserve">, </w:t>
      </w:r>
      <w:r w:rsidR="00F61B74">
        <w:t>allowances,</w:t>
      </w:r>
      <w:r w:rsidR="00A300EA">
        <w:t xml:space="preserve"> and expenses</w:t>
      </w:r>
      <w:r w:rsidRPr="00816981">
        <w:t xml:space="preserve">.  </w:t>
      </w:r>
      <w:r w:rsidR="00A300EA">
        <w:t>In additional to this NPR, the</w:t>
      </w:r>
      <w:r w:rsidRPr="00816981">
        <w:t xml:space="preserve"> general </w:t>
      </w:r>
      <w:r w:rsidR="00A300EA">
        <w:t>TDY</w:t>
      </w:r>
      <w:r w:rsidRPr="00816981">
        <w:t xml:space="preserve"> provisions </w:t>
      </w:r>
      <w:r w:rsidR="00A300EA">
        <w:t xml:space="preserve">outlined </w:t>
      </w:r>
      <w:r w:rsidRPr="00816981">
        <w:t xml:space="preserve">in </w:t>
      </w:r>
      <w:r w:rsidR="00EA7B6D" w:rsidRPr="00816981">
        <w:t xml:space="preserve">NPR </w:t>
      </w:r>
      <w:r w:rsidR="001E0307" w:rsidRPr="00816981">
        <w:t>9710</w:t>
      </w:r>
      <w:r w:rsidR="00EA7B6D" w:rsidRPr="00816981">
        <w:t xml:space="preserve">.1 </w:t>
      </w:r>
      <w:r w:rsidR="00A300EA">
        <w:t>General Travel Requirements, are applicable and required to be followed</w:t>
      </w:r>
      <w:r w:rsidRPr="00816981">
        <w:t xml:space="preserve">.  </w:t>
      </w:r>
    </w:p>
    <w:p w14:paraId="664D53B2" w14:textId="1D77E12E" w:rsidR="00C00D92" w:rsidRPr="00816981" w:rsidRDefault="00A300EA">
      <w:pPr>
        <w:pStyle w:val="NPR3"/>
      </w:pPr>
      <w:r>
        <w:t>This NPR establishes procedural requirements that NASA has authority or responsibility to set and supplements the requirements of</w:t>
      </w:r>
      <w:r w:rsidR="005C5801">
        <w:t xml:space="preserve"> </w:t>
      </w:r>
      <w:r w:rsidR="005C5801" w:rsidRPr="005C5801">
        <w:t>Federal Travel Regulations (FTR), 41 Code of Federal Regulations (CFR) Ch., 301</w:t>
      </w:r>
      <w:r>
        <w:t>.</w:t>
      </w:r>
      <w:r w:rsidR="005C5801">
        <w:t xml:space="preserve">  </w:t>
      </w:r>
      <w:r w:rsidR="00C00D92" w:rsidRPr="00816981">
        <w:t>E</w:t>
      </w:r>
      <w:r w:rsidR="00C203BC" w:rsidRPr="00816981">
        <w:t xml:space="preserve">xtended </w:t>
      </w:r>
      <w:r w:rsidR="00C00D92" w:rsidRPr="00816981">
        <w:t>TDY</w:t>
      </w:r>
      <w:r w:rsidR="0040699B" w:rsidRPr="00816981">
        <w:t xml:space="preserve"> (ETDY)</w:t>
      </w:r>
      <w:r w:rsidR="00C00D92" w:rsidRPr="00816981">
        <w:t xml:space="preserve"> is defined as travel lasting in duration for </w:t>
      </w:r>
      <w:r w:rsidR="004270CC">
        <w:t>31</w:t>
      </w:r>
      <w:r w:rsidR="00C00D92" w:rsidRPr="00816981">
        <w:t xml:space="preserve"> or more continuous calendar days</w:t>
      </w:r>
      <w:r w:rsidR="00F61B74">
        <w:t xml:space="preserve"> at one location</w:t>
      </w:r>
    </w:p>
    <w:p w14:paraId="3F90B79E" w14:textId="77777777" w:rsidR="00D4268F" w:rsidRPr="00816981" w:rsidRDefault="00D4268F">
      <w:pPr>
        <w:pStyle w:val="NPR2"/>
      </w:pPr>
      <w:bookmarkStart w:id="19" w:name="_Toc482711887"/>
      <w:r w:rsidRPr="00816981">
        <w:t>Agency Requirements</w:t>
      </w:r>
      <w:bookmarkEnd w:id="19"/>
    </w:p>
    <w:p w14:paraId="2DE10E14" w14:textId="3810B400" w:rsidR="0054768C" w:rsidRPr="00816981" w:rsidRDefault="00A300EA">
      <w:pPr>
        <w:pStyle w:val="NPR3"/>
      </w:pPr>
      <w:r>
        <w:t xml:space="preserve">It is NASA policy to adhere to the Federal Travel Regulations as defined in </w:t>
      </w:r>
      <w:r w:rsidR="005C5801" w:rsidRPr="005C5801">
        <w:t>Temporary Duty (TDY) Travel Allowances, 41 CFR Ch. 301</w:t>
      </w:r>
      <w:r w:rsidR="0054768C" w:rsidRPr="00816981">
        <w:t xml:space="preserve">, </w:t>
      </w:r>
      <w:r>
        <w:t xml:space="preserve">promogulated by General Services Administration (GSA). </w:t>
      </w:r>
      <w:r w:rsidR="005C5801">
        <w:t xml:space="preserve"> </w:t>
      </w:r>
      <w:r>
        <w:t>As designed in</w:t>
      </w:r>
      <w:r w:rsidR="005C5801" w:rsidRPr="005C5801">
        <w:t xml:space="preserve"> </w:t>
      </w:r>
      <w:bookmarkStart w:id="20" w:name="_Hlk154035674"/>
      <w:r w:rsidR="005C5801" w:rsidRPr="005C5801">
        <w:t>Regulations and report</w:t>
      </w:r>
      <w:r w:rsidR="005C5801">
        <w:t>,</w:t>
      </w:r>
      <w:r>
        <w:t xml:space="preserve"> 5 U.S.C. </w:t>
      </w:r>
      <w:r w:rsidRPr="00816981">
        <w:t>§</w:t>
      </w:r>
      <w:r>
        <w:t xml:space="preserve"> 5707</w:t>
      </w:r>
      <w:bookmarkEnd w:id="20"/>
      <w:r w:rsidR="005C5801">
        <w:t xml:space="preserve">.  </w:t>
      </w:r>
      <w:r>
        <w:t>GSA is responsible for prescribing Federal regulations necessary for the administration of temporary duty legislative provisions.</w:t>
      </w:r>
    </w:p>
    <w:p w14:paraId="2DE5DB66" w14:textId="3ECD8C49" w:rsidR="00F919E0" w:rsidRPr="00816981" w:rsidRDefault="001B16F6">
      <w:pPr>
        <w:pStyle w:val="NPR3"/>
      </w:pPr>
      <w:r w:rsidRPr="00816981">
        <w:t xml:space="preserve">The </w:t>
      </w:r>
      <w:r w:rsidR="0054768C" w:rsidRPr="00816981">
        <w:t xml:space="preserve">NASA Office of the Chief Financial Officer </w:t>
      </w:r>
      <w:r w:rsidR="00A300EA">
        <w:t>(OCFO)</w:t>
      </w:r>
      <w:r w:rsidR="00E243FF">
        <w:t xml:space="preserve"> </w:t>
      </w:r>
      <w:r w:rsidR="0054768C" w:rsidRPr="00816981">
        <w:t xml:space="preserve">promulgates </w:t>
      </w:r>
      <w:r w:rsidR="0002612B">
        <w:t>this</w:t>
      </w:r>
      <w:r w:rsidR="0002612B" w:rsidRPr="00816981">
        <w:t xml:space="preserve"> </w:t>
      </w:r>
      <w:r w:rsidR="0054768C" w:rsidRPr="00816981">
        <w:t>NPR to</w:t>
      </w:r>
      <w:r w:rsidR="00F919E0" w:rsidRPr="00816981">
        <w:t>:</w:t>
      </w:r>
    </w:p>
    <w:p w14:paraId="661EB27E" w14:textId="7CF56F8E" w:rsidR="00F919E0" w:rsidRPr="00816981" w:rsidRDefault="0054768C" w:rsidP="006A3650">
      <w:pPr>
        <w:pStyle w:val="NPR3"/>
        <w:numPr>
          <w:ilvl w:val="0"/>
          <w:numId w:val="0"/>
        </w:numPr>
      </w:pPr>
      <w:r w:rsidRPr="00816981">
        <w:t>a</w:t>
      </w:r>
      <w:r w:rsidR="00F919E0" w:rsidRPr="00816981">
        <w:t>.</w:t>
      </w:r>
      <w:r w:rsidRPr="00816981">
        <w:t xml:space="preserve"> </w:t>
      </w:r>
      <w:r w:rsidR="00044796" w:rsidRPr="00816981">
        <w:t>I</w:t>
      </w:r>
      <w:r w:rsidRPr="00816981">
        <w:t>nterpret statutory</w:t>
      </w:r>
      <w:r w:rsidR="00C40D8A" w:rsidRPr="00816981">
        <w:t>, regulatory</w:t>
      </w:r>
      <w:r w:rsidR="00A300EA">
        <w:t>,</w:t>
      </w:r>
      <w:r w:rsidRPr="00816981">
        <w:t xml:space="preserve"> and other policy requirements in a manner that balances the need to ensure that the processing of </w:t>
      </w:r>
      <w:r w:rsidR="0040699B" w:rsidRPr="00816981">
        <w:t>ETDY</w:t>
      </w:r>
      <w:r w:rsidRPr="00816981">
        <w:t xml:space="preserve"> is conducted in a responsible manner with the need to minimize administrative costs</w:t>
      </w:r>
      <w:r w:rsidR="00F919E0" w:rsidRPr="00816981">
        <w:t>.</w:t>
      </w:r>
    </w:p>
    <w:p w14:paraId="42B26ED4" w14:textId="693261F4" w:rsidR="0054768C" w:rsidRPr="00816981" w:rsidRDefault="0054768C" w:rsidP="006A3650">
      <w:pPr>
        <w:pStyle w:val="NPR3"/>
        <w:numPr>
          <w:ilvl w:val="0"/>
          <w:numId w:val="0"/>
        </w:numPr>
      </w:pPr>
      <w:r w:rsidRPr="00816981">
        <w:t>b</w:t>
      </w:r>
      <w:r w:rsidR="00F919E0" w:rsidRPr="00816981">
        <w:t>.</w:t>
      </w:r>
      <w:r w:rsidR="00910C6D">
        <w:t xml:space="preserve"> </w:t>
      </w:r>
      <w:r w:rsidR="00044796" w:rsidRPr="00816981">
        <w:t>C</w:t>
      </w:r>
      <w:r w:rsidRPr="00816981">
        <w:t>ommunicate the resulting policies in a clear manner to employees</w:t>
      </w:r>
      <w:r w:rsidRPr="00816981">
        <w:rPr>
          <w:b/>
        </w:rPr>
        <w:t>.</w:t>
      </w:r>
    </w:p>
    <w:p w14:paraId="525299CD" w14:textId="5FB78193" w:rsidR="0054768C" w:rsidRPr="00816981" w:rsidRDefault="0054768C">
      <w:pPr>
        <w:pStyle w:val="NPR3"/>
      </w:pPr>
      <w:r w:rsidRPr="00816981">
        <w:t xml:space="preserve">This NPR is intended to address matters for which NASA has authority or responsibility to set specific policy </w:t>
      </w:r>
      <w:r w:rsidR="00A0037F" w:rsidRPr="00816981">
        <w:t xml:space="preserve">and </w:t>
      </w:r>
      <w:r w:rsidRPr="00816981">
        <w:t xml:space="preserve">only </w:t>
      </w:r>
      <w:r w:rsidR="00A0037F" w:rsidRPr="00816981">
        <w:t xml:space="preserve">applies </w:t>
      </w:r>
      <w:r w:rsidRPr="00816981">
        <w:t>to NASA</w:t>
      </w:r>
      <w:r w:rsidR="00FA2E72">
        <w:t>,</w:t>
      </w:r>
      <w:r w:rsidRPr="00816981">
        <w:t xml:space="preserve"> and </w:t>
      </w:r>
      <w:r w:rsidR="00565304">
        <w:t>t</w:t>
      </w:r>
      <w:r w:rsidR="00BD6985">
        <w:t>he clause supplements the requirements of 41 CFR ch. 301.</w:t>
      </w:r>
      <w:r w:rsidRPr="00816981">
        <w:t xml:space="preserve"> </w:t>
      </w:r>
      <w:r w:rsidR="008220CF">
        <w:t xml:space="preserve"> </w:t>
      </w:r>
      <w:r w:rsidRPr="00816981">
        <w:t>It i</w:t>
      </w:r>
      <w:r w:rsidR="000C0B74" w:rsidRPr="00816981">
        <w:t xml:space="preserve">s incumbent upon NASA </w:t>
      </w:r>
      <w:r w:rsidR="00573282" w:rsidRPr="00816981">
        <w:t>travelers</w:t>
      </w:r>
      <w:r w:rsidRPr="00816981">
        <w:t>, authorizing and approving officials</w:t>
      </w:r>
      <w:r w:rsidR="0002612B">
        <w:t>,</w:t>
      </w:r>
      <w:r w:rsidRPr="00816981">
        <w:t xml:space="preserve"> and financial management personnel to be familiar with the provisions of </w:t>
      </w:r>
      <w:r w:rsidR="00456D8E" w:rsidRPr="00816981">
        <w:t>41</w:t>
      </w:r>
      <w:r w:rsidR="00456D8E">
        <w:t> </w:t>
      </w:r>
      <w:r w:rsidR="00F919E0" w:rsidRPr="00816981">
        <w:t xml:space="preserve">CFR </w:t>
      </w:r>
      <w:r w:rsidR="00F338F4" w:rsidRPr="00816981">
        <w:t>ch</w:t>
      </w:r>
      <w:r w:rsidR="00C40D8A" w:rsidRPr="00816981">
        <w:t>.</w:t>
      </w:r>
      <w:r w:rsidR="00F338F4" w:rsidRPr="00816981">
        <w:t xml:space="preserve"> </w:t>
      </w:r>
      <w:r w:rsidR="00F919E0" w:rsidRPr="00816981">
        <w:t>301</w:t>
      </w:r>
      <w:r w:rsidRPr="00816981">
        <w:t xml:space="preserve">, in relation to their specific roles in the </w:t>
      </w:r>
      <w:r w:rsidR="00E243FF">
        <w:t>travel</w:t>
      </w:r>
      <w:r w:rsidR="00C203BC" w:rsidRPr="00816981">
        <w:t xml:space="preserve"> </w:t>
      </w:r>
      <w:r w:rsidRPr="00816981">
        <w:t>process.</w:t>
      </w:r>
    </w:p>
    <w:p w14:paraId="45E31EB2" w14:textId="77777777" w:rsidR="00D50B89" w:rsidRPr="00816981" w:rsidRDefault="00D4268F">
      <w:pPr>
        <w:pStyle w:val="NPR2"/>
      </w:pPr>
      <w:bookmarkStart w:id="21" w:name="_Toc482711888"/>
      <w:r w:rsidRPr="00816981">
        <w:t>Roles and Responsibilities</w:t>
      </w:r>
      <w:bookmarkEnd w:id="21"/>
    </w:p>
    <w:p w14:paraId="3AA22C38" w14:textId="4587D1D2" w:rsidR="005D241F" w:rsidRPr="00816981" w:rsidRDefault="0054768C">
      <w:pPr>
        <w:pStyle w:val="NPRLista"/>
      </w:pPr>
      <w:r w:rsidRPr="00816981">
        <w:t xml:space="preserve">The Agency Office of the Chief Financial Officer (OCFO):  Serves as the Agency-wide lead for all matters relating to </w:t>
      </w:r>
      <w:r w:rsidR="00E243FF">
        <w:t xml:space="preserve">travel </w:t>
      </w:r>
      <w:r w:rsidRPr="00816981">
        <w:t xml:space="preserve">policy, regulation, requirements, other guidance, and internal controls, as necessary for managing the </w:t>
      </w:r>
      <w:r w:rsidR="0040699B" w:rsidRPr="00816981">
        <w:t>ETDY</w:t>
      </w:r>
      <w:r w:rsidR="00C203BC" w:rsidRPr="00816981">
        <w:t xml:space="preserve"> </w:t>
      </w:r>
      <w:r w:rsidRPr="00816981">
        <w:t xml:space="preserve">program in accordance with </w:t>
      </w:r>
      <w:r w:rsidR="00A0037F" w:rsidRPr="00816981">
        <w:t xml:space="preserve">the </w:t>
      </w:r>
      <w:r w:rsidRPr="00816981">
        <w:t>Federal Travel Regulation</w:t>
      </w:r>
      <w:r w:rsidR="00B96163" w:rsidRPr="00816981">
        <w:t xml:space="preserve"> </w:t>
      </w:r>
      <w:r w:rsidR="00A0037F" w:rsidRPr="00816981">
        <w:t>(FTR)</w:t>
      </w:r>
      <w:r w:rsidRPr="00816981">
        <w:t xml:space="preserve"> and other regulatory requirements. </w:t>
      </w:r>
      <w:r w:rsidR="008220CF">
        <w:t xml:space="preserve"> </w:t>
      </w:r>
      <w:r w:rsidRPr="00816981">
        <w:t>The OCFO</w:t>
      </w:r>
      <w:r w:rsidR="005D241F">
        <w:t xml:space="preserve"> d</w:t>
      </w:r>
      <w:r w:rsidRPr="00816981">
        <w:t>evelops and implements NASA policy and procedures and works closely with the N</w:t>
      </w:r>
      <w:r w:rsidR="001B16F6" w:rsidRPr="00816981">
        <w:t xml:space="preserve">ASA </w:t>
      </w:r>
      <w:r w:rsidRPr="00816981">
        <w:t>S</w:t>
      </w:r>
      <w:r w:rsidR="001B16F6" w:rsidRPr="00816981">
        <w:t xml:space="preserve">hared </w:t>
      </w:r>
      <w:r w:rsidRPr="00816981">
        <w:t>S</w:t>
      </w:r>
      <w:r w:rsidR="001B16F6" w:rsidRPr="00816981">
        <w:t xml:space="preserve">ervices </w:t>
      </w:r>
      <w:r w:rsidRPr="00816981">
        <w:t>C</w:t>
      </w:r>
      <w:r w:rsidR="001B16F6" w:rsidRPr="00816981">
        <w:t xml:space="preserve">enter </w:t>
      </w:r>
      <w:r w:rsidRPr="00816981">
        <w:t xml:space="preserve">regarding changes within the program. </w:t>
      </w:r>
    </w:p>
    <w:p w14:paraId="4442E943" w14:textId="59956EAD" w:rsidR="0054768C" w:rsidRPr="00816981" w:rsidRDefault="0054768C">
      <w:pPr>
        <w:pStyle w:val="NPRLista"/>
      </w:pPr>
      <w:r w:rsidRPr="00816981">
        <w:t>The NASA Shared Services Center</w:t>
      </w:r>
      <w:r w:rsidR="001B16F6" w:rsidRPr="00816981">
        <w:t xml:space="preserve"> (NSSC)</w:t>
      </w:r>
      <w:r w:rsidR="00211946" w:rsidRPr="00816981">
        <w:t xml:space="preserve">:  </w:t>
      </w:r>
      <w:r w:rsidR="00791453" w:rsidRPr="00816981">
        <w:t xml:space="preserve">Administers the </w:t>
      </w:r>
      <w:r w:rsidR="0040699B" w:rsidRPr="00816981">
        <w:t>ETDY</w:t>
      </w:r>
      <w:r w:rsidR="00C203BC" w:rsidRPr="00816981">
        <w:t xml:space="preserve"> </w:t>
      </w:r>
      <w:r w:rsidRPr="00816981">
        <w:t xml:space="preserve">program in accordance with the </w:t>
      </w:r>
      <w:r w:rsidR="00A0037F" w:rsidRPr="00816981">
        <w:t>FTR</w:t>
      </w:r>
      <w:r w:rsidR="00E243FF">
        <w:t>, NASA policy,</w:t>
      </w:r>
      <w:r w:rsidRPr="00816981">
        <w:t xml:space="preserve"> and other regulatory requirements. </w:t>
      </w:r>
      <w:r w:rsidR="008220CF">
        <w:t xml:space="preserve"> </w:t>
      </w:r>
      <w:r w:rsidR="00E243FF">
        <w:t>S</w:t>
      </w:r>
      <w:r w:rsidRPr="00816981">
        <w:t>erves as the liaison between the employees</w:t>
      </w:r>
      <w:r w:rsidR="0088041A" w:rsidRPr="00816981">
        <w:t xml:space="preserve"> and </w:t>
      </w:r>
      <w:r w:rsidRPr="00816981">
        <w:t xml:space="preserve">the </w:t>
      </w:r>
      <w:r w:rsidR="0088041A" w:rsidRPr="00816981">
        <w:t>C</w:t>
      </w:r>
      <w:r w:rsidRPr="00816981">
        <w:t>enter</w:t>
      </w:r>
      <w:r w:rsidR="00291052" w:rsidRPr="00816981">
        <w:t>.</w:t>
      </w:r>
      <w:r w:rsidR="0002612B">
        <w:t xml:space="preserve"> </w:t>
      </w:r>
      <w:r w:rsidRPr="00816981">
        <w:t xml:space="preserve">  </w:t>
      </w:r>
    </w:p>
    <w:p w14:paraId="55FB78D8" w14:textId="77E4D2AC" w:rsidR="0054768C" w:rsidRPr="00816981" w:rsidRDefault="0054768C">
      <w:pPr>
        <w:pStyle w:val="NPR3"/>
      </w:pPr>
      <w:r w:rsidRPr="00816981">
        <w:t>Centers</w:t>
      </w:r>
      <w:r w:rsidR="00CE3A78" w:rsidRPr="00816981">
        <w:t>’</w:t>
      </w:r>
      <w:r w:rsidRPr="00816981">
        <w:t xml:space="preserve"> Travel Point</w:t>
      </w:r>
      <w:r w:rsidR="00CE3A78" w:rsidRPr="00816981">
        <w:t>s</w:t>
      </w:r>
      <w:r w:rsidRPr="00816981">
        <w:t xml:space="preserve"> of Contact</w:t>
      </w:r>
      <w:r w:rsidR="00E243FF">
        <w:t xml:space="preserve"> (POC)</w:t>
      </w:r>
      <w:r w:rsidRPr="00816981">
        <w:t xml:space="preserve">: </w:t>
      </w:r>
      <w:r w:rsidR="0002612B">
        <w:t xml:space="preserve"> </w:t>
      </w:r>
      <w:r w:rsidRPr="00816981">
        <w:t xml:space="preserve">Work directly with the OCFO and </w:t>
      </w:r>
      <w:r w:rsidR="00E243FF">
        <w:t xml:space="preserve">their </w:t>
      </w:r>
      <w:r w:rsidRPr="00816981">
        <w:t xml:space="preserve">designated </w:t>
      </w:r>
      <w:r w:rsidR="00E243FF">
        <w:t xml:space="preserve">NSSC </w:t>
      </w:r>
      <w:r w:rsidR="00955D7F" w:rsidRPr="00816981">
        <w:t>l</w:t>
      </w:r>
      <w:r w:rsidRPr="00816981">
        <w:t xml:space="preserve">ead </w:t>
      </w:r>
      <w:r w:rsidR="00573282" w:rsidRPr="00816981">
        <w:t xml:space="preserve">to authorize </w:t>
      </w:r>
      <w:r w:rsidRPr="00816981">
        <w:t xml:space="preserve">employees’ </w:t>
      </w:r>
      <w:r w:rsidR="0040699B" w:rsidRPr="00816981">
        <w:t>ETDY</w:t>
      </w:r>
      <w:r w:rsidRPr="00816981">
        <w:t xml:space="preserve">. </w:t>
      </w:r>
    </w:p>
    <w:p w14:paraId="2B57D794" w14:textId="66288BEE" w:rsidR="00423695" w:rsidRDefault="006D1A2D">
      <w:pPr>
        <w:pStyle w:val="NPR3"/>
      </w:pPr>
      <w:r w:rsidRPr="00816981">
        <w:lastRenderedPageBreak/>
        <w:t xml:space="preserve">Authorizing and </w:t>
      </w:r>
      <w:r w:rsidR="00F40BDC" w:rsidRPr="00816981">
        <w:t>Approving Official</w:t>
      </w:r>
      <w:r w:rsidR="00E243FF">
        <w:t>s</w:t>
      </w:r>
      <w:r w:rsidR="00F40BDC" w:rsidRPr="00816981">
        <w:t xml:space="preserve">: </w:t>
      </w:r>
      <w:r w:rsidR="0002612B">
        <w:t xml:space="preserve"> </w:t>
      </w:r>
      <w:r w:rsidR="00291052" w:rsidRPr="00816981">
        <w:t xml:space="preserve">Authorize and approve employee travel </w:t>
      </w:r>
      <w:r w:rsidR="00E243FF">
        <w:t xml:space="preserve">as delegated </w:t>
      </w:r>
      <w:r w:rsidR="00291052" w:rsidRPr="00816981">
        <w:t xml:space="preserve">in accordance with </w:t>
      </w:r>
      <w:r w:rsidR="002E4243" w:rsidRPr="002E4243">
        <w:t>NPD 9710.1, Delegation of Authority – To Authorize or Approve Temporary Duty Travel on Official Business and Related Matters</w:t>
      </w:r>
      <w:r w:rsidR="00E243FF">
        <w:t>.</w:t>
      </w:r>
    </w:p>
    <w:p w14:paraId="0E8F7E03" w14:textId="5D476D87" w:rsidR="0054768C" w:rsidRPr="00423695" w:rsidRDefault="00423695" w:rsidP="00423695">
      <w:pPr>
        <w:spacing w:after="0" w:line="240" w:lineRule="auto"/>
        <w:rPr>
          <w:szCs w:val="24"/>
        </w:rPr>
      </w:pPr>
      <w:r>
        <w:br w:type="page"/>
      </w:r>
    </w:p>
    <w:p w14:paraId="63F60BD3" w14:textId="77777777" w:rsidR="001E3BF9" w:rsidRPr="00816981" w:rsidRDefault="001E3BF9" w:rsidP="00277C9F">
      <w:pPr>
        <w:pStyle w:val="NPR10"/>
      </w:pPr>
      <w:bookmarkStart w:id="22" w:name="a_1"/>
      <w:bookmarkStart w:id="23" w:name="a_4"/>
      <w:bookmarkStart w:id="24" w:name="a_5"/>
      <w:bookmarkStart w:id="25" w:name="b"/>
      <w:bookmarkStart w:id="26" w:name="_Toc482711889"/>
      <w:bookmarkEnd w:id="22"/>
      <w:bookmarkEnd w:id="23"/>
      <w:bookmarkEnd w:id="24"/>
      <w:bookmarkEnd w:id="25"/>
      <w:r w:rsidRPr="00816981">
        <w:lastRenderedPageBreak/>
        <w:t xml:space="preserve">Authorization and Approval of </w:t>
      </w:r>
      <w:r w:rsidR="0002612B">
        <w:t>E</w:t>
      </w:r>
      <w:r w:rsidR="00C203BC" w:rsidRPr="00816981">
        <w:t xml:space="preserve">xtended </w:t>
      </w:r>
      <w:r w:rsidRPr="00816981">
        <w:t>TDY Travel</w:t>
      </w:r>
      <w:bookmarkEnd w:id="26"/>
    </w:p>
    <w:p w14:paraId="71308D4B" w14:textId="44585D36" w:rsidR="00D527D5" w:rsidRPr="00816981" w:rsidRDefault="00D527D5" w:rsidP="00333526">
      <w:pPr>
        <w:pStyle w:val="NPR2"/>
        <w:numPr>
          <w:ilvl w:val="1"/>
          <w:numId w:val="1"/>
        </w:numPr>
        <w:outlineLvl w:val="1"/>
      </w:pPr>
      <w:bookmarkStart w:id="27" w:name="_Toc482711890"/>
      <w:r w:rsidRPr="00816981">
        <w:t>Overview</w:t>
      </w:r>
      <w:bookmarkEnd w:id="27"/>
    </w:p>
    <w:p w14:paraId="6EA968CF" w14:textId="65E4F8EA" w:rsidR="000E19E5" w:rsidRPr="00816981" w:rsidRDefault="00D3006C" w:rsidP="00333526">
      <w:pPr>
        <w:pStyle w:val="NPR3"/>
        <w:numPr>
          <w:ilvl w:val="2"/>
          <w:numId w:val="1"/>
        </w:numPr>
        <w:ind w:left="0"/>
      </w:pPr>
      <w:r w:rsidRPr="00816981">
        <w:t>NASA authorizes a reduced per diem</w:t>
      </w:r>
      <w:r w:rsidR="004F6C2D" w:rsidRPr="00816981">
        <w:t xml:space="preserve"> for</w:t>
      </w:r>
      <w:r w:rsidR="007737E0" w:rsidRPr="00816981">
        <w:t xml:space="preserve"> all travel</w:t>
      </w:r>
      <w:r w:rsidR="004F6C2D" w:rsidRPr="00816981">
        <w:t xml:space="preserve"> that is </w:t>
      </w:r>
      <w:r w:rsidR="003777FC">
        <w:t>31</w:t>
      </w:r>
      <w:r w:rsidR="003777FC" w:rsidRPr="00816981">
        <w:t xml:space="preserve"> </w:t>
      </w:r>
      <w:r w:rsidR="007477E3" w:rsidRPr="00816981">
        <w:t xml:space="preserve">or more calendar </w:t>
      </w:r>
      <w:r w:rsidR="004F6C2D" w:rsidRPr="00816981">
        <w:t>da</w:t>
      </w:r>
      <w:r w:rsidR="000C0B74" w:rsidRPr="00816981">
        <w:t xml:space="preserve">ys </w:t>
      </w:r>
      <w:r w:rsidR="0040699B" w:rsidRPr="00816981">
        <w:t>(ETDY</w:t>
      </w:r>
      <w:r w:rsidRPr="00816981">
        <w:t xml:space="preserve">), except as otherwise </w:t>
      </w:r>
      <w:r w:rsidR="0040699B" w:rsidRPr="00816981">
        <w:t>excluded</w:t>
      </w:r>
      <w:r w:rsidRPr="00816981">
        <w:t xml:space="preserve"> </w:t>
      </w:r>
      <w:r w:rsidR="00803F8F" w:rsidRPr="00816981">
        <w:t xml:space="preserve">in section 2.1.2 </w:t>
      </w:r>
      <w:r w:rsidRPr="00816981">
        <w:t xml:space="preserve">below.  Each </w:t>
      </w:r>
      <w:r w:rsidR="0040699B" w:rsidRPr="00816981">
        <w:t>ETDY</w:t>
      </w:r>
      <w:r w:rsidRPr="00816981">
        <w:t xml:space="preserve"> authorization should be limited to</w:t>
      </w:r>
      <w:r w:rsidR="000C0B74" w:rsidRPr="00816981">
        <w:t xml:space="preserve"> one </w:t>
      </w:r>
      <w:r w:rsidR="00E243FF" w:rsidRPr="00816981">
        <w:t>year but</w:t>
      </w:r>
      <w:r w:rsidR="00090C1E" w:rsidRPr="00816981">
        <w:t xml:space="preserve"> may be approved as required by mission </w:t>
      </w:r>
      <w:r w:rsidRPr="00816981">
        <w:t xml:space="preserve">with due consideration for the increased costs and alternatives. </w:t>
      </w:r>
      <w:r w:rsidR="00D77D10" w:rsidRPr="00816981">
        <w:t xml:space="preserve"> </w:t>
      </w:r>
      <w:r w:rsidR="004F6C2D" w:rsidRPr="00816981">
        <w:t xml:space="preserve">Assignments for more than one year </w:t>
      </w:r>
      <w:r w:rsidR="002E0369" w:rsidRPr="00816981">
        <w:t xml:space="preserve">will </w:t>
      </w:r>
      <w:r w:rsidR="006A3650" w:rsidRPr="00816981">
        <w:t>be</w:t>
      </w:r>
      <w:r w:rsidR="004F6C2D" w:rsidRPr="00816981">
        <w:t xml:space="preserve"> reevaluated </w:t>
      </w:r>
      <w:r w:rsidR="00090C1E" w:rsidRPr="00816981">
        <w:t>annually</w:t>
      </w:r>
      <w:r w:rsidR="004F6C2D" w:rsidRPr="00816981">
        <w:t xml:space="preserve"> to determine if it is still in the best interest of NASA.  A new cost </w:t>
      </w:r>
      <w:r w:rsidR="002E0369" w:rsidRPr="00816981">
        <w:t xml:space="preserve">comparison will </w:t>
      </w:r>
      <w:r w:rsidR="006A3650" w:rsidRPr="00816981">
        <w:t xml:space="preserve">be </w:t>
      </w:r>
      <w:r w:rsidR="004F6C2D" w:rsidRPr="00816981">
        <w:t xml:space="preserve">completed and attached to the authorization.  </w:t>
      </w:r>
      <w:r w:rsidRPr="00816981">
        <w:t>Intergovernmental Personnel Act (IPA) assignments should not exceed two years.</w:t>
      </w:r>
    </w:p>
    <w:p w14:paraId="7426C30F" w14:textId="77777777" w:rsidR="00F13A12" w:rsidRPr="00816981" w:rsidRDefault="00F13A12" w:rsidP="003623DF">
      <w:pPr>
        <w:pStyle w:val="NPR3"/>
        <w:numPr>
          <w:ilvl w:val="0"/>
          <w:numId w:val="0"/>
        </w:numPr>
        <w:ind w:left="360" w:right="360"/>
        <w:rPr>
          <w:i/>
          <w:sz w:val="22"/>
          <w:szCs w:val="22"/>
        </w:rPr>
      </w:pPr>
      <w:r w:rsidRPr="00816981">
        <w:rPr>
          <w:i/>
          <w:sz w:val="22"/>
          <w:szCs w:val="22"/>
        </w:rPr>
        <w:t>Note:</w:t>
      </w:r>
      <w:r w:rsidR="0031137D">
        <w:rPr>
          <w:i/>
          <w:sz w:val="22"/>
          <w:szCs w:val="22"/>
        </w:rPr>
        <w:t xml:space="preserve"> </w:t>
      </w:r>
      <w:r w:rsidRPr="00816981">
        <w:rPr>
          <w:i/>
          <w:sz w:val="22"/>
          <w:szCs w:val="22"/>
        </w:rPr>
        <w:t xml:space="preserve"> The cost comparison will be considered originally using the entire length of the assignment or if extended, reevaluated using</w:t>
      </w:r>
      <w:r w:rsidR="0002612B">
        <w:rPr>
          <w:i/>
          <w:sz w:val="22"/>
          <w:szCs w:val="22"/>
        </w:rPr>
        <w:t xml:space="preserve"> the</w:t>
      </w:r>
      <w:r w:rsidRPr="00816981">
        <w:rPr>
          <w:i/>
          <w:sz w:val="22"/>
          <w:szCs w:val="22"/>
        </w:rPr>
        <w:t xml:space="preserve"> extension period of the assignment. </w:t>
      </w:r>
      <w:r w:rsidR="0031137D">
        <w:rPr>
          <w:i/>
          <w:sz w:val="22"/>
          <w:szCs w:val="22"/>
        </w:rPr>
        <w:t xml:space="preserve"> </w:t>
      </w:r>
      <w:r w:rsidRPr="00816981">
        <w:rPr>
          <w:i/>
          <w:sz w:val="22"/>
          <w:szCs w:val="22"/>
        </w:rPr>
        <w:t xml:space="preserve">Assignment extensions </w:t>
      </w:r>
      <w:r w:rsidR="00964503">
        <w:rPr>
          <w:i/>
          <w:sz w:val="22"/>
          <w:szCs w:val="22"/>
        </w:rPr>
        <w:t>should</w:t>
      </w:r>
      <w:r w:rsidR="00964503" w:rsidRPr="00816981">
        <w:rPr>
          <w:i/>
          <w:sz w:val="22"/>
          <w:szCs w:val="22"/>
        </w:rPr>
        <w:t xml:space="preserve"> </w:t>
      </w:r>
      <w:r w:rsidRPr="00816981">
        <w:rPr>
          <w:i/>
          <w:sz w:val="22"/>
          <w:szCs w:val="22"/>
        </w:rPr>
        <w:t>be justified and</w:t>
      </w:r>
      <w:r w:rsidR="0002612B">
        <w:rPr>
          <w:i/>
          <w:sz w:val="22"/>
          <w:szCs w:val="22"/>
        </w:rPr>
        <w:t xml:space="preserve"> an</w:t>
      </w:r>
      <w:r w:rsidRPr="00816981">
        <w:rPr>
          <w:i/>
          <w:sz w:val="22"/>
          <w:szCs w:val="22"/>
        </w:rPr>
        <w:t xml:space="preserve"> explanation of why the timeframe was not known originally should be included.</w:t>
      </w:r>
    </w:p>
    <w:p w14:paraId="0E160C04" w14:textId="676B3E04" w:rsidR="00803F8F" w:rsidRPr="00816981" w:rsidRDefault="00803F8F" w:rsidP="00333526">
      <w:pPr>
        <w:pStyle w:val="NPR3"/>
        <w:numPr>
          <w:ilvl w:val="2"/>
          <w:numId w:val="1"/>
        </w:numPr>
        <w:ind w:left="0"/>
      </w:pPr>
      <w:r w:rsidRPr="00816981">
        <w:t>Exclusions.</w:t>
      </w:r>
      <w:r w:rsidR="0031137D">
        <w:t xml:space="preserve"> </w:t>
      </w:r>
      <w:r w:rsidRPr="00816981">
        <w:t xml:space="preserve"> Although ETDY is generally defined as all travel that is </w:t>
      </w:r>
      <w:r w:rsidR="003777FC">
        <w:t>31</w:t>
      </w:r>
      <w:r w:rsidR="003777FC" w:rsidRPr="00816981">
        <w:t xml:space="preserve"> </w:t>
      </w:r>
      <w:r w:rsidRPr="00816981">
        <w:t xml:space="preserve">or more calendar days, the following categories of travel are excluded from the ETDY category and its requirement for reduced per diem.  These are excluded based on </w:t>
      </w:r>
      <w:r w:rsidR="00F13A12" w:rsidRPr="00816981">
        <w:t xml:space="preserve">prior determinations </w:t>
      </w:r>
      <w:r w:rsidRPr="00816981">
        <w:t xml:space="preserve">(including recurring approved waivers) </w:t>
      </w:r>
      <w:r w:rsidR="00F13A12" w:rsidRPr="00816981">
        <w:t>showing lower lodging and/or meal costs are not reasonably available as required by the FTR.</w:t>
      </w:r>
    </w:p>
    <w:p w14:paraId="7ED7A8C7" w14:textId="1C772524" w:rsidR="00F13A12" w:rsidRPr="00106657" w:rsidRDefault="00AA6A17">
      <w:pPr>
        <w:pStyle w:val="NPRLista"/>
        <w:numPr>
          <w:ilvl w:val="0"/>
          <w:numId w:val="27"/>
        </w:numPr>
        <w:ind w:left="0" w:firstLine="0"/>
      </w:pPr>
      <w:r w:rsidRPr="007127EB">
        <w:rPr>
          <w:lang w:val="en"/>
        </w:rPr>
        <w:t>Outside of the Continental United States (OCONUS)</w:t>
      </w:r>
      <w:r w:rsidR="00A936E4" w:rsidRPr="00106657">
        <w:t xml:space="preserve"> </w:t>
      </w:r>
      <w:r w:rsidR="00F13A12" w:rsidRPr="00106657">
        <w:t xml:space="preserve">Deployments.  NASA </w:t>
      </w:r>
      <w:r w:rsidR="00247DD4" w:rsidRPr="00106657">
        <w:t xml:space="preserve">Science and Aeronautics Missions conduct a variety of </w:t>
      </w:r>
      <w:r w:rsidR="00A936E4" w:rsidRPr="00106657">
        <w:t xml:space="preserve">OCONUS </w:t>
      </w:r>
      <w:r w:rsidR="00247DD4" w:rsidRPr="00106657">
        <w:t xml:space="preserve">deployments each year, with typical campaigns lasting up to several months.  These extended high-tempo operations, often in </w:t>
      </w:r>
      <w:r w:rsidR="00A936E4" w:rsidRPr="00106657">
        <w:t xml:space="preserve">multiple or </w:t>
      </w:r>
      <w:r w:rsidR="00247DD4" w:rsidRPr="00106657">
        <w:t xml:space="preserve">remote locations, have repeatedly demonstrated lack of available reasonable alternatives for reduced per diem at deployment locations.  </w:t>
      </w:r>
      <w:r w:rsidR="00A936E4" w:rsidRPr="00106657">
        <w:t xml:space="preserve">Accordingly, </w:t>
      </w:r>
      <w:r w:rsidR="00FD3656" w:rsidRPr="00106657">
        <w:t xml:space="preserve">OCONUS </w:t>
      </w:r>
      <w:r w:rsidR="00A936E4" w:rsidRPr="00106657">
        <w:t xml:space="preserve">deployments of up to two months duration are excluded from the ETDY category.  </w:t>
      </w:r>
      <w:r w:rsidR="009822BA">
        <w:t>Centers m</w:t>
      </w:r>
      <w:r w:rsidR="00A936E4" w:rsidRPr="00106657">
        <w:t xml:space="preserve">aintain a list of these deployments, updated with concurrence </w:t>
      </w:r>
      <w:r w:rsidR="008603BE">
        <w:t>from</w:t>
      </w:r>
      <w:r w:rsidR="00A936E4" w:rsidRPr="00106657">
        <w:t xml:space="preserve"> OCFO</w:t>
      </w:r>
      <w:r w:rsidR="00FD3656" w:rsidRPr="00106657">
        <w:t xml:space="preserve"> </w:t>
      </w:r>
      <w:r w:rsidR="009822BA">
        <w:t xml:space="preserve">Policy Division </w:t>
      </w:r>
      <w:r w:rsidR="00FD3656" w:rsidRPr="00106657">
        <w:t>at least annually.</w:t>
      </w:r>
      <w:r w:rsidR="00A936E4" w:rsidRPr="00106657">
        <w:t xml:space="preserve"> </w:t>
      </w:r>
      <w:r w:rsidR="00247DD4" w:rsidRPr="00106657">
        <w:t xml:space="preserve"> </w:t>
      </w:r>
    </w:p>
    <w:p w14:paraId="3272C465" w14:textId="4AF7C649" w:rsidR="00F13A12" w:rsidRPr="00816981" w:rsidRDefault="00F13A12">
      <w:pPr>
        <w:pStyle w:val="NPRLista"/>
      </w:pPr>
      <w:r w:rsidRPr="00816981">
        <w:t xml:space="preserve">Russian Assignments.  </w:t>
      </w:r>
      <w:r w:rsidR="00D51621" w:rsidRPr="00816981">
        <w:t xml:space="preserve">Reviews have repeatedly demonstrated the lack of reasonable alternatives for reduced per diem at locations in Russia (particularly Star City).  Accordingly, all travel to Russia, including long-duration travel, is excluded from the ETDY category.  </w:t>
      </w:r>
    </w:p>
    <w:p w14:paraId="77E511F5" w14:textId="18371EFC" w:rsidR="00F13A12" w:rsidRPr="00816981" w:rsidRDefault="00D51621">
      <w:pPr>
        <w:pStyle w:val="NPRLista"/>
      </w:pPr>
      <w:bookmarkStart w:id="28" w:name="_Hlk153286647"/>
      <w:r w:rsidRPr="00816981">
        <w:t>Unexpected</w:t>
      </w:r>
      <w:r w:rsidR="00F13A12" w:rsidRPr="00816981">
        <w:t xml:space="preserve"> Extensions.</w:t>
      </w:r>
      <w:r w:rsidR="00FD3656" w:rsidRPr="00816981">
        <w:t xml:space="preserve">  If </w:t>
      </w:r>
      <w:r w:rsidR="00DE570E">
        <w:t xml:space="preserve">original </w:t>
      </w:r>
      <w:r w:rsidR="00FD3656" w:rsidRPr="00816981">
        <w:t xml:space="preserve">TDY travel </w:t>
      </w:r>
      <w:r w:rsidR="008603BE">
        <w:t>(less than 3</w:t>
      </w:r>
      <w:r w:rsidR="0083429D">
        <w:t>1</w:t>
      </w:r>
      <w:r w:rsidR="008603BE">
        <w:t xml:space="preserve"> days) </w:t>
      </w:r>
      <w:r w:rsidR="00FD3656" w:rsidRPr="00816981">
        <w:t xml:space="preserve">has commenced and is unexpectedly extended </w:t>
      </w:r>
      <w:r w:rsidR="008603BE">
        <w:t xml:space="preserve">during the TDY dates </w:t>
      </w:r>
      <w:r w:rsidR="00FD3656" w:rsidRPr="00816981">
        <w:t xml:space="preserve">due to operational needs beyond </w:t>
      </w:r>
      <w:r w:rsidR="008603BE">
        <w:t>30</w:t>
      </w:r>
      <w:r w:rsidR="00FD3656" w:rsidRPr="00816981">
        <w:t xml:space="preserve"> days, </w:t>
      </w:r>
      <w:r w:rsidR="009822BA">
        <w:t>(</w:t>
      </w:r>
      <w:r w:rsidR="00FD3656" w:rsidRPr="00816981">
        <w:t>60 days in the case of OCONUS deployments</w:t>
      </w:r>
      <w:r w:rsidR="009822BA">
        <w:t>)</w:t>
      </w:r>
      <w:r w:rsidR="00FD3656" w:rsidRPr="00816981">
        <w:t xml:space="preserve">, an extension of up to an additional 30 days is excluded from </w:t>
      </w:r>
      <w:r w:rsidR="009822BA">
        <w:t>being classified as</w:t>
      </w:r>
      <w:r w:rsidR="00FD3656" w:rsidRPr="00816981">
        <w:t xml:space="preserve"> ETDY, and the authorized rate of TDY per diem or actual expenses may be similarly approved for the extension period</w:t>
      </w:r>
      <w:bookmarkEnd w:id="28"/>
      <w:r w:rsidR="00FD3656" w:rsidRPr="00816981">
        <w:t xml:space="preserve">. </w:t>
      </w:r>
    </w:p>
    <w:p w14:paraId="29EED7D8" w14:textId="13C9D456" w:rsidR="00D527D5" w:rsidRPr="00816981" w:rsidRDefault="00D527D5" w:rsidP="003623DF">
      <w:pPr>
        <w:pStyle w:val="NPR2"/>
        <w:numPr>
          <w:ilvl w:val="1"/>
          <w:numId w:val="1"/>
        </w:numPr>
        <w:outlineLvl w:val="1"/>
      </w:pPr>
      <w:bookmarkStart w:id="29" w:name="_Toc482711891"/>
      <w:r w:rsidRPr="00816981">
        <w:t>E</w:t>
      </w:r>
      <w:r w:rsidR="00C203BC" w:rsidRPr="00816981">
        <w:t xml:space="preserve">xtended </w:t>
      </w:r>
      <w:r w:rsidRPr="00816981">
        <w:t>TDY Counseling</w:t>
      </w:r>
      <w:bookmarkEnd w:id="29"/>
    </w:p>
    <w:p w14:paraId="4ADB4C6A" w14:textId="77777777" w:rsidR="00D527D5" w:rsidRPr="00816981" w:rsidRDefault="00D527D5" w:rsidP="006E741A">
      <w:pPr>
        <w:pStyle w:val="NPR3"/>
        <w:numPr>
          <w:ilvl w:val="0"/>
          <w:numId w:val="0"/>
        </w:numPr>
      </w:pPr>
      <w:r w:rsidRPr="00816981">
        <w:t xml:space="preserve">Employees </w:t>
      </w:r>
      <w:r w:rsidR="006A3650" w:rsidRPr="00816981">
        <w:t>shall</w:t>
      </w:r>
      <w:r w:rsidR="00F919E0" w:rsidRPr="00816981">
        <w:t xml:space="preserve"> </w:t>
      </w:r>
      <w:r w:rsidRPr="00816981">
        <w:t xml:space="preserve">complete counseling through the NSSC prior to </w:t>
      </w:r>
      <w:r w:rsidR="001F1995" w:rsidRPr="00816981">
        <w:t xml:space="preserve">each </w:t>
      </w:r>
      <w:r w:rsidR="0040699B" w:rsidRPr="00816981">
        <w:t>ETDY</w:t>
      </w:r>
      <w:r w:rsidR="00C203BC" w:rsidRPr="00816981">
        <w:t xml:space="preserve"> </w:t>
      </w:r>
      <w:r w:rsidRPr="00816981">
        <w:t xml:space="preserve">assignment.  If counseling is not completed prior to the </w:t>
      </w:r>
      <w:r w:rsidR="009D2BC4" w:rsidRPr="00816981">
        <w:t>assignment, the</w:t>
      </w:r>
      <w:r w:rsidR="002050E8" w:rsidRPr="00816981">
        <w:t xml:space="preserve"> ETDY assignment </w:t>
      </w:r>
      <w:r w:rsidR="002262FF" w:rsidRPr="00816981">
        <w:t>will</w:t>
      </w:r>
      <w:r w:rsidRPr="00816981">
        <w:t xml:space="preserve"> not</w:t>
      </w:r>
      <w:r w:rsidR="002262FF" w:rsidRPr="00816981">
        <w:t xml:space="preserve"> be</w:t>
      </w:r>
      <w:r w:rsidRPr="00816981">
        <w:t xml:space="preserve"> approved and/or authorized</w:t>
      </w:r>
      <w:r w:rsidR="00B36208" w:rsidRPr="00816981">
        <w:t>.</w:t>
      </w:r>
      <w:r w:rsidRPr="00816981">
        <w:t xml:space="preserve"> </w:t>
      </w:r>
      <w:r w:rsidR="0031137D">
        <w:t xml:space="preserve"> </w:t>
      </w:r>
      <w:r w:rsidRPr="00816981">
        <w:t xml:space="preserve">During counseling, employees are advised to discuss lodging </w:t>
      </w:r>
      <w:r w:rsidR="0040699B" w:rsidRPr="00816981">
        <w:t xml:space="preserve">alternatives, and in no event </w:t>
      </w:r>
      <w:r w:rsidR="00964503">
        <w:t>will</w:t>
      </w:r>
      <w:r w:rsidR="00964503" w:rsidRPr="00816981">
        <w:t xml:space="preserve"> </w:t>
      </w:r>
      <w:r w:rsidR="0040699B" w:rsidRPr="00816981">
        <w:t>they secure</w:t>
      </w:r>
      <w:r w:rsidRPr="00816981">
        <w:t xml:space="preserve"> a lease</w:t>
      </w:r>
      <w:r w:rsidR="0040699B" w:rsidRPr="00816981">
        <w:t xml:space="preserve"> prior to ETDY authorization</w:t>
      </w:r>
      <w:r w:rsidRPr="00816981">
        <w:t xml:space="preserve">. </w:t>
      </w:r>
    </w:p>
    <w:p w14:paraId="5A0F5B45" w14:textId="71D251AC" w:rsidR="007737E0" w:rsidRPr="00816981" w:rsidRDefault="007737E0" w:rsidP="003623DF">
      <w:pPr>
        <w:pStyle w:val="NPR2"/>
        <w:numPr>
          <w:ilvl w:val="1"/>
          <w:numId w:val="1"/>
        </w:numPr>
        <w:outlineLvl w:val="1"/>
      </w:pPr>
      <w:bookmarkStart w:id="30" w:name="_Toc482711893"/>
      <w:r w:rsidRPr="00816981">
        <w:t>Cost Comparison</w:t>
      </w:r>
      <w:bookmarkEnd w:id="30"/>
    </w:p>
    <w:p w14:paraId="1A2D3AF6" w14:textId="11B1E13D" w:rsidR="0054768C" w:rsidRPr="00816981" w:rsidRDefault="007737E0" w:rsidP="003623DF">
      <w:pPr>
        <w:pStyle w:val="NPR3"/>
        <w:numPr>
          <w:ilvl w:val="2"/>
          <w:numId w:val="1"/>
        </w:numPr>
        <w:ind w:left="0"/>
      </w:pPr>
      <w:r w:rsidRPr="00816981">
        <w:t xml:space="preserve">Prior to authorization of an </w:t>
      </w:r>
      <w:r w:rsidR="0040699B" w:rsidRPr="00816981">
        <w:t>ETDY</w:t>
      </w:r>
      <w:r w:rsidR="00C203BC" w:rsidRPr="00816981">
        <w:t xml:space="preserve"> </w:t>
      </w:r>
      <w:r w:rsidRPr="00816981">
        <w:t>assignment</w:t>
      </w:r>
      <w:r w:rsidR="00AA6A17">
        <w:t>,</w:t>
      </w:r>
      <w:r w:rsidR="000E19E5" w:rsidRPr="00816981">
        <w:t xml:space="preserve"> t</w:t>
      </w:r>
      <w:r w:rsidRPr="00816981">
        <w:t xml:space="preserve">he following </w:t>
      </w:r>
      <w:r w:rsidR="00F919E0" w:rsidRPr="00816981">
        <w:t xml:space="preserve">will </w:t>
      </w:r>
      <w:r w:rsidRPr="00816981">
        <w:t>be done:</w:t>
      </w:r>
    </w:p>
    <w:p w14:paraId="13F4C65C" w14:textId="77777777" w:rsidR="007127EB" w:rsidRDefault="00A35B89">
      <w:pPr>
        <w:pStyle w:val="NPRLista"/>
        <w:numPr>
          <w:ilvl w:val="0"/>
          <w:numId w:val="16"/>
        </w:numPr>
        <w:ind w:left="0" w:firstLine="0"/>
      </w:pPr>
      <w:r w:rsidRPr="00816981">
        <w:lastRenderedPageBreak/>
        <w:t xml:space="preserve">The </w:t>
      </w:r>
      <w:r w:rsidR="00AA6A17">
        <w:t>a</w:t>
      </w:r>
      <w:r w:rsidRPr="00816981">
        <w:t>uthorizing</w:t>
      </w:r>
      <w:r w:rsidR="007737E0" w:rsidRPr="00816981">
        <w:t xml:space="preserve"> official </w:t>
      </w:r>
      <w:r w:rsidR="006A3650" w:rsidRPr="00816981">
        <w:t xml:space="preserve">shall </w:t>
      </w:r>
      <w:r w:rsidR="007737E0" w:rsidRPr="00816981">
        <w:t xml:space="preserve">determine whether the assignment is in the best interest of the Government. </w:t>
      </w:r>
    </w:p>
    <w:p w14:paraId="137AB540" w14:textId="0E33B40E" w:rsidR="004E54EF" w:rsidRPr="00816981" w:rsidRDefault="00356717">
      <w:pPr>
        <w:pStyle w:val="NPRLista"/>
        <w:numPr>
          <w:ilvl w:val="0"/>
          <w:numId w:val="16"/>
        </w:numPr>
        <w:ind w:left="0" w:firstLine="0"/>
      </w:pPr>
      <w:r w:rsidRPr="00816981">
        <w:t>The Official in Charge (OIC) or Center Director shall approve a</w:t>
      </w:r>
      <w:r w:rsidR="004E54EF" w:rsidRPr="00816981">
        <w:t xml:space="preserve">ll </w:t>
      </w:r>
      <w:r w:rsidR="0040699B" w:rsidRPr="00816981">
        <w:t>ETDY</w:t>
      </w:r>
      <w:r w:rsidR="004E54EF" w:rsidRPr="00816981">
        <w:t xml:space="preserve"> assignments </w:t>
      </w:r>
      <w:r w:rsidR="00DF74AF" w:rsidRPr="00816981">
        <w:t>consistent with NPD 9710</w:t>
      </w:r>
      <w:r w:rsidR="002E4243">
        <w:t>.1</w:t>
      </w:r>
      <w:r w:rsidR="00DF74AF" w:rsidRPr="00816981">
        <w:t xml:space="preserve"> (for example, currently required for</w:t>
      </w:r>
      <w:r w:rsidR="004E54EF" w:rsidRPr="00816981">
        <w:t xml:space="preserve"> assignments longer than 90 days</w:t>
      </w:r>
      <w:r w:rsidR="00DF74AF" w:rsidRPr="00816981">
        <w:t>)</w:t>
      </w:r>
      <w:r w:rsidRPr="00816981">
        <w:t>.</w:t>
      </w:r>
    </w:p>
    <w:p w14:paraId="65880DBF" w14:textId="03015CF8" w:rsidR="007737E0" w:rsidRPr="00816981" w:rsidRDefault="007737E0">
      <w:pPr>
        <w:pStyle w:val="NPRLista"/>
      </w:pPr>
      <w:r w:rsidRPr="00816981">
        <w:t>For assignments of more than 180 days, NASA requires an analysis of allowances</w:t>
      </w:r>
      <w:r w:rsidR="00573282" w:rsidRPr="00816981">
        <w:t xml:space="preserve"> be submitted</w:t>
      </w:r>
      <w:r w:rsidRPr="00816981">
        <w:t xml:space="preserve"> with the assignment as an </w:t>
      </w:r>
      <w:r w:rsidR="0040699B" w:rsidRPr="00816981">
        <w:t>ETDY</w:t>
      </w:r>
      <w:r w:rsidRPr="00816981">
        <w:t xml:space="preserve">, </w:t>
      </w:r>
      <w:r w:rsidR="00AC4115" w:rsidRPr="00816981">
        <w:t>T</w:t>
      </w:r>
      <w:r w:rsidRPr="00816981">
        <w:t xml:space="preserve">emporary </w:t>
      </w:r>
      <w:r w:rsidR="00AC4115" w:rsidRPr="00816981">
        <w:t>C</w:t>
      </w:r>
      <w:r w:rsidRPr="00816981">
        <w:t xml:space="preserve">hange of </w:t>
      </w:r>
      <w:r w:rsidR="00AC4115" w:rsidRPr="00816981">
        <w:t>S</w:t>
      </w:r>
      <w:r w:rsidRPr="00816981">
        <w:t>tation</w:t>
      </w:r>
      <w:r w:rsidR="00AC4115" w:rsidRPr="00816981">
        <w:t xml:space="preserve"> (TCS)</w:t>
      </w:r>
      <w:r w:rsidRPr="00816981">
        <w:t xml:space="preserve">, or </w:t>
      </w:r>
      <w:r w:rsidR="00AC4115" w:rsidRPr="00816981">
        <w:t>P</w:t>
      </w:r>
      <w:r w:rsidRPr="00816981">
        <w:t xml:space="preserve">ermanent </w:t>
      </w:r>
      <w:r w:rsidR="00AC4115" w:rsidRPr="00816981">
        <w:t>C</w:t>
      </w:r>
      <w:r w:rsidRPr="00816981">
        <w:t xml:space="preserve">hange of </w:t>
      </w:r>
      <w:r w:rsidR="00AC4115" w:rsidRPr="00816981">
        <w:t>S</w:t>
      </w:r>
      <w:r w:rsidRPr="00816981">
        <w:t>tation</w:t>
      </w:r>
      <w:r w:rsidR="00AC4115" w:rsidRPr="00816981">
        <w:t xml:space="preserve"> (PCS)</w:t>
      </w:r>
      <w:r w:rsidRPr="00816981">
        <w:t xml:space="preserve"> </w:t>
      </w:r>
      <w:r w:rsidR="00573282" w:rsidRPr="00816981">
        <w:t xml:space="preserve">for review </w:t>
      </w:r>
      <w:r w:rsidRPr="00816981">
        <w:t>by the C</w:t>
      </w:r>
      <w:r w:rsidR="0055673D" w:rsidRPr="00816981">
        <w:t xml:space="preserve">hief </w:t>
      </w:r>
      <w:r w:rsidRPr="00816981">
        <w:t>F</w:t>
      </w:r>
      <w:r w:rsidR="0055673D" w:rsidRPr="00816981">
        <w:t xml:space="preserve">inancial </w:t>
      </w:r>
      <w:r w:rsidRPr="00816981">
        <w:t>O</w:t>
      </w:r>
      <w:r w:rsidR="0055673D" w:rsidRPr="00816981">
        <w:t>fficer (CFO)</w:t>
      </w:r>
      <w:r w:rsidRPr="00816981">
        <w:t xml:space="preserve"> or his/her designee</w:t>
      </w:r>
      <w:r w:rsidR="00DF74AF" w:rsidRPr="00816981">
        <w:t xml:space="preserve"> at the approving official’s </w:t>
      </w:r>
      <w:r w:rsidR="00AA6A17">
        <w:t>C</w:t>
      </w:r>
      <w:r w:rsidR="00DF74AF" w:rsidRPr="00816981">
        <w:t>enter</w:t>
      </w:r>
      <w:r w:rsidRPr="00816981">
        <w:t xml:space="preserve">. </w:t>
      </w:r>
      <w:r w:rsidR="0031137D">
        <w:t xml:space="preserve"> </w:t>
      </w:r>
      <w:r w:rsidRPr="00816981">
        <w:t xml:space="preserve">The </w:t>
      </w:r>
      <w:r w:rsidR="006A5D84" w:rsidRPr="00816981">
        <w:t xml:space="preserve">NSSC </w:t>
      </w:r>
      <w:r w:rsidR="001817D3">
        <w:t xml:space="preserve">Accounting and Travel Services Branch </w:t>
      </w:r>
      <w:r w:rsidRPr="00816981">
        <w:t xml:space="preserve">shall develop a cost comparison for use in determining whether the assignment should be authorized as an </w:t>
      </w:r>
      <w:r w:rsidR="0040699B" w:rsidRPr="00816981">
        <w:t>ETDY</w:t>
      </w:r>
      <w:r w:rsidRPr="00816981">
        <w:t xml:space="preserve"> or </w:t>
      </w:r>
      <w:r w:rsidR="000D2347" w:rsidRPr="00816981">
        <w:t>TCS/PCS</w:t>
      </w:r>
      <w:r w:rsidRPr="00816981">
        <w:t xml:space="preserve"> assignment. </w:t>
      </w:r>
      <w:r w:rsidR="0031137D">
        <w:t xml:space="preserve"> </w:t>
      </w:r>
      <w:r w:rsidRPr="00816981">
        <w:t>The cost comparison should be attached to the travel authorization to be used to certify fund availability and process travel voucher claims.</w:t>
      </w:r>
      <w:r w:rsidR="00C228B5" w:rsidRPr="00816981">
        <w:t xml:space="preserve">  If</w:t>
      </w:r>
      <w:r w:rsidR="00643FFD" w:rsidRPr="00816981">
        <w:t xml:space="preserve"> the employee</w:t>
      </w:r>
      <w:r w:rsidR="00C228B5" w:rsidRPr="00816981">
        <w:t xml:space="preserve"> do</w:t>
      </w:r>
      <w:r w:rsidR="00643FFD" w:rsidRPr="00816981">
        <w:t>es</w:t>
      </w:r>
      <w:r w:rsidR="00C228B5" w:rsidRPr="00816981">
        <w:t xml:space="preserve"> not select the most advantageous</w:t>
      </w:r>
      <w:r w:rsidR="00573788" w:rsidRPr="00816981">
        <w:t xml:space="preserve"> cost</w:t>
      </w:r>
      <w:r w:rsidR="00C228B5" w:rsidRPr="00816981">
        <w:t>, then additional approval by an OIC or Center Director</w:t>
      </w:r>
      <w:r w:rsidR="007B4E89">
        <w:t xml:space="preserve"> will</w:t>
      </w:r>
      <w:r w:rsidR="006A3650" w:rsidRPr="00816981">
        <w:t xml:space="preserve"> be</w:t>
      </w:r>
      <w:r w:rsidR="00F919E0" w:rsidRPr="00816981">
        <w:t xml:space="preserve"> </w:t>
      </w:r>
      <w:r w:rsidR="00C228B5" w:rsidRPr="00816981">
        <w:t xml:space="preserve">provided prior to the assignment. </w:t>
      </w:r>
    </w:p>
    <w:p w14:paraId="2F844CC0" w14:textId="77777777" w:rsidR="00B528C8" w:rsidRPr="00816981" w:rsidRDefault="007737E0" w:rsidP="003623DF">
      <w:pPr>
        <w:spacing w:after="160" w:line="259" w:lineRule="auto"/>
        <w:ind w:left="360" w:right="360"/>
        <w:rPr>
          <w:i/>
          <w:szCs w:val="24"/>
        </w:rPr>
      </w:pPr>
      <w:r w:rsidRPr="00816981">
        <w:rPr>
          <w:i/>
          <w:szCs w:val="24"/>
        </w:rPr>
        <w:t>Note:</w:t>
      </w:r>
      <w:r w:rsidRPr="00816981">
        <w:rPr>
          <w:b/>
          <w:i/>
          <w:szCs w:val="24"/>
        </w:rPr>
        <w:t xml:space="preserve"> </w:t>
      </w:r>
      <w:r w:rsidRPr="00816981">
        <w:rPr>
          <w:i/>
          <w:szCs w:val="24"/>
        </w:rPr>
        <w:t xml:space="preserve"> If </w:t>
      </w:r>
      <w:r w:rsidR="00CC467D" w:rsidRPr="00816981">
        <w:rPr>
          <w:i/>
          <w:szCs w:val="24"/>
        </w:rPr>
        <w:t>an employee</w:t>
      </w:r>
      <w:r w:rsidRPr="00816981">
        <w:rPr>
          <w:i/>
          <w:szCs w:val="24"/>
        </w:rPr>
        <w:t xml:space="preserve"> </w:t>
      </w:r>
      <w:r w:rsidR="00CC467D" w:rsidRPr="00816981">
        <w:rPr>
          <w:i/>
          <w:szCs w:val="24"/>
        </w:rPr>
        <w:t>is</w:t>
      </w:r>
      <w:r w:rsidRPr="00816981">
        <w:rPr>
          <w:i/>
          <w:szCs w:val="24"/>
        </w:rPr>
        <w:t xml:space="preserve"> on </w:t>
      </w:r>
      <w:r w:rsidR="0040699B" w:rsidRPr="00816981">
        <w:rPr>
          <w:i/>
          <w:szCs w:val="24"/>
        </w:rPr>
        <w:t>ETDY</w:t>
      </w:r>
      <w:r w:rsidR="002A4E29" w:rsidRPr="00816981">
        <w:rPr>
          <w:i/>
          <w:szCs w:val="24"/>
        </w:rPr>
        <w:t xml:space="preserve"> </w:t>
      </w:r>
      <w:r w:rsidRPr="00816981">
        <w:rPr>
          <w:i/>
          <w:szCs w:val="24"/>
        </w:rPr>
        <w:t xml:space="preserve">and </w:t>
      </w:r>
      <w:r w:rsidR="00CC467D" w:rsidRPr="00816981">
        <w:rPr>
          <w:i/>
          <w:szCs w:val="24"/>
        </w:rPr>
        <w:t xml:space="preserve">there are unforeseen circumstances that require him or her </w:t>
      </w:r>
      <w:r w:rsidRPr="00816981">
        <w:rPr>
          <w:i/>
          <w:szCs w:val="24"/>
        </w:rPr>
        <w:t>to</w:t>
      </w:r>
      <w:r w:rsidR="00CB3BD8" w:rsidRPr="00816981">
        <w:rPr>
          <w:i/>
          <w:szCs w:val="24"/>
        </w:rPr>
        <w:t xml:space="preserve"> do a</w:t>
      </w:r>
      <w:r w:rsidRPr="00816981">
        <w:rPr>
          <w:i/>
          <w:szCs w:val="24"/>
        </w:rPr>
        <w:t xml:space="preserve"> PCS, </w:t>
      </w:r>
      <w:r w:rsidR="00CC467D" w:rsidRPr="00816981">
        <w:rPr>
          <w:i/>
          <w:szCs w:val="24"/>
        </w:rPr>
        <w:t xml:space="preserve">he/she </w:t>
      </w:r>
      <w:r w:rsidR="00784DC7" w:rsidRPr="00816981">
        <w:rPr>
          <w:i/>
          <w:szCs w:val="24"/>
        </w:rPr>
        <w:t>shall contact</w:t>
      </w:r>
      <w:r w:rsidRPr="00816981">
        <w:rPr>
          <w:i/>
          <w:szCs w:val="24"/>
        </w:rPr>
        <w:t xml:space="preserve"> the TCS/PCS </w:t>
      </w:r>
      <w:r w:rsidR="000D2347" w:rsidRPr="00816981">
        <w:rPr>
          <w:i/>
          <w:szCs w:val="24"/>
        </w:rPr>
        <w:t>p</w:t>
      </w:r>
      <w:r w:rsidR="004449C3" w:rsidRPr="00816981">
        <w:rPr>
          <w:i/>
          <w:szCs w:val="24"/>
        </w:rPr>
        <w:t xml:space="preserve">oint of </w:t>
      </w:r>
      <w:r w:rsidR="000D2347" w:rsidRPr="00816981">
        <w:rPr>
          <w:i/>
          <w:szCs w:val="24"/>
        </w:rPr>
        <w:t>c</w:t>
      </w:r>
      <w:r w:rsidR="00112B74">
        <w:rPr>
          <w:i/>
          <w:szCs w:val="24"/>
        </w:rPr>
        <w:t>ontact</w:t>
      </w:r>
      <w:r w:rsidR="004449C3" w:rsidRPr="00816981">
        <w:rPr>
          <w:i/>
          <w:szCs w:val="24"/>
        </w:rPr>
        <w:t xml:space="preserve"> to determine his/her</w:t>
      </w:r>
      <w:r w:rsidRPr="00816981">
        <w:rPr>
          <w:i/>
          <w:szCs w:val="24"/>
        </w:rPr>
        <w:t xml:space="preserve"> entitlement and potential risks for losing </w:t>
      </w:r>
      <w:r w:rsidR="004449C3" w:rsidRPr="00816981">
        <w:rPr>
          <w:i/>
          <w:szCs w:val="24"/>
        </w:rPr>
        <w:t xml:space="preserve">his/her </w:t>
      </w:r>
      <w:r w:rsidRPr="00816981">
        <w:rPr>
          <w:i/>
          <w:szCs w:val="24"/>
        </w:rPr>
        <w:t>entitlement such as en route, house hunting</w:t>
      </w:r>
      <w:r w:rsidR="00AA6A17">
        <w:rPr>
          <w:i/>
          <w:szCs w:val="24"/>
        </w:rPr>
        <w:t>,</w:t>
      </w:r>
      <w:r w:rsidRPr="00816981">
        <w:rPr>
          <w:i/>
          <w:szCs w:val="24"/>
        </w:rPr>
        <w:t xml:space="preserve"> and home sale.</w:t>
      </w:r>
      <w:r w:rsidRPr="00816981">
        <w:rPr>
          <w:szCs w:val="24"/>
        </w:rPr>
        <w:t xml:space="preserve"> </w:t>
      </w:r>
    </w:p>
    <w:p w14:paraId="01813EF7" w14:textId="3D6EC8AD" w:rsidR="00883B7D" w:rsidRPr="00816981" w:rsidRDefault="00A3326E" w:rsidP="003623DF">
      <w:pPr>
        <w:pStyle w:val="NPR3"/>
        <w:numPr>
          <w:ilvl w:val="2"/>
          <w:numId w:val="1"/>
        </w:numPr>
        <w:ind w:left="0"/>
        <w:outlineLvl w:val="2"/>
      </w:pPr>
      <w:r w:rsidRPr="00816981">
        <w:t>A P</w:t>
      </w:r>
      <w:r w:rsidR="00E15493" w:rsidRPr="00816981">
        <w:t>rivately Owned Vehicle (P</w:t>
      </w:r>
      <w:r w:rsidRPr="00816981">
        <w:t>OV</w:t>
      </w:r>
      <w:r w:rsidR="00E15493" w:rsidRPr="00816981">
        <w:t>)</w:t>
      </w:r>
      <w:r w:rsidRPr="00816981">
        <w:t xml:space="preserve"> may be authorized as advantageous to the Government or</w:t>
      </w:r>
      <w:r w:rsidR="00940468" w:rsidRPr="00816981">
        <w:t xml:space="preserve"> as a</w:t>
      </w:r>
      <w:r w:rsidRPr="00816981">
        <w:t xml:space="preserve"> personal preference on an </w:t>
      </w:r>
      <w:r w:rsidR="0040699B" w:rsidRPr="00816981">
        <w:t>ETDY</w:t>
      </w:r>
      <w:r w:rsidR="004E54EF" w:rsidRPr="00816981">
        <w:t xml:space="preserve"> assignment as follows</w:t>
      </w:r>
      <w:r w:rsidRPr="00816981">
        <w:t>:</w:t>
      </w:r>
    </w:p>
    <w:p w14:paraId="56593BB5" w14:textId="77777777" w:rsidR="00A3326E" w:rsidRPr="00816981" w:rsidRDefault="00A3326E">
      <w:pPr>
        <w:pStyle w:val="NPRLista"/>
        <w:numPr>
          <w:ilvl w:val="0"/>
          <w:numId w:val="18"/>
        </w:numPr>
        <w:ind w:left="0" w:firstLine="0"/>
      </w:pPr>
      <w:r w:rsidRPr="00816981">
        <w:t>If common carrier transportation</w:t>
      </w:r>
      <w:r w:rsidR="00940468" w:rsidRPr="00816981">
        <w:t xml:space="preserve"> and local transportation</w:t>
      </w:r>
      <w:r w:rsidRPr="00816981">
        <w:t xml:space="preserve"> is available to the </w:t>
      </w:r>
      <w:r w:rsidR="0040699B" w:rsidRPr="00816981">
        <w:t>ETDY</w:t>
      </w:r>
      <w:r w:rsidRPr="00816981">
        <w:t xml:space="preserve"> </w:t>
      </w:r>
      <w:r w:rsidR="00940468" w:rsidRPr="00816981">
        <w:t xml:space="preserve">location, </w:t>
      </w:r>
      <w:r w:rsidRPr="00816981">
        <w:t>the employee may be authorized a POV allowance on a personal preference basis</w:t>
      </w:r>
      <w:r w:rsidR="00940468" w:rsidRPr="00816981">
        <w:t xml:space="preserve">; however, the POV allowance will be limited to the estimated costs of the available common carrier and local transportation which would normally be used </w:t>
      </w:r>
      <w:r w:rsidR="00DF74AF" w:rsidRPr="00816981">
        <w:t>when</w:t>
      </w:r>
      <w:r w:rsidR="00940468" w:rsidRPr="00816981">
        <w:t xml:space="preserve"> </w:t>
      </w:r>
      <w:r w:rsidR="00DF74AF" w:rsidRPr="00816981">
        <w:t>a</w:t>
      </w:r>
      <w:r w:rsidR="00940468" w:rsidRPr="00816981">
        <w:t xml:space="preserve"> POV </w:t>
      </w:r>
      <w:r w:rsidR="00DF74AF" w:rsidRPr="00816981">
        <w:t>is</w:t>
      </w:r>
      <w:r w:rsidR="00940468" w:rsidRPr="00816981">
        <w:t xml:space="preserve"> not authorized. </w:t>
      </w:r>
    </w:p>
    <w:p w14:paraId="38546E84" w14:textId="77777777" w:rsidR="00A3326E" w:rsidRPr="00816981" w:rsidRDefault="00A3326E">
      <w:pPr>
        <w:pStyle w:val="NPRLista"/>
      </w:pPr>
      <w:r w:rsidRPr="00816981">
        <w:t xml:space="preserve">If common carrier transportation is </w:t>
      </w:r>
      <w:r w:rsidR="00931117" w:rsidRPr="00816981">
        <w:t xml:space="preserve">not </w:t>
      </w:r>
      <w:r w:rsidRPr="00816981">
        <w:t xml:space="preserve">available to the </w:t>
      </w:r>
      <w:r w:rsidR="0040699B" w:rsidRPr="00816981">
        <w:t>ETDY</w:t>
      </w:r>
      <w:r w:rsidRPr="00816981">
        <w:t xml:space="preserve"> </w:t>
      </w:r>
      <w:r w:rsidR="00940468" w:rsidRPr="00816981">
        <w:t>location</w:t>
      </w:r>
      <w:r w:rsidRPr="00816981">
        <w:t>, but local transportation is available, a cost comparison is required to determine if the use of a POV for en route and local travel should be authorized as advantageous to the Government.</w:t>
      </w:r>
      <w:r w:rsidR="00940468" w:rsidRPr="00816981">
        <w:t xml:space="preserve"> </w:t>
      </w:r>
    </w:p>
    <w:p w14:paraId="1A208224" w14:textId="5DEB2E2E" w:rsidR="00A3326E" w:rsidRPr="00816981" w:rsidRDefault="00A3326E">
      <w:pPr>
        <w:pStyle w:val="NPRLista"/>
      </w:pPr>
      <w:r w:rsidRPr="00816981">
        <w:t xml:space="preserve">If common carrier transportation is not available to the </w:t>
      </w:r>
      <w:r w:rsidR="0040699B" w:rsidRPr="00816981">
        <w:t>ETDY</w:t>
      </w:r>
      <w:r w:rsidRPr="00816981">
        <w:t xml:space="preserve"> </w:t>
      </w:r>
      <w:r w:rsidR="00931117" w:rsidRPr="00816981">
        <w:t xml:space="preserve">location </w:t>
      </w:r>
      <w:r w:rsidRPr="00816981">
        <w:t xml:space="preserve">and local transportation is not available at the </w:t>
      </w:r>
      <w:r w:rsidR="0040699B" w:rsidRPr="00816981">
        <w:t>ETDY</w:t>
      </w:r>
      <w:r w:rsidRPr="00816981">
        <w:t xml:space="preserve"> location, the use of a POV for en route and local travel may be authorized as advantageous to the Government.</w:t>
      </w:r>
    </w:p>
    <w:p w14:paraId="6C2D5DCA" w14:textId="197CC0E7" w:rsidR="002262FF" w:rsidRPr="00816981" w:rsidRDefault="002262FF" w:rsidP="003623DF">
      <w:pPr>
        <w:pStyle w:val="NPR2"/>
        <w:numPr>
          <w:ilvl w:val="1"/>
          <w:numId w:val="1"/>
        </w:numPr>
        <w:outlineLvl w:val="1"/>
      </w:pPr>
      <w:bookmarkStart w:id="31" w:name="_Toc482711894"/>
      <w:r w:rsidRPr="00816981">
        <w:t>A</w:t>
      </w:r>
      <w:r w:rsidR="00A3326E" w:rsidRPr="00816981">
        <w:t>uthorization and Approval</w:t>
      </w:r>
      <w:bookmarkEnd w:id="31"/>
      <w:r w:rsidR="00A3326E" w:rsidRPr="00816981">
        <w:t xml:space="preserve">  </w:t>
      </w:r>
    </w:p>
    <w:p w14:paraId="48600341" w14:textId="77777777" w:rsidR="003623DF" w:rsidRDefault="00374FFD" w:rsidP="003623DF">
      <w:pPr>
        <w:pStyle w:val="NPR3"/>
        <w:numPr>
          <w:ilvl w:val="2"/>
          <w:numId w:val="1"/>
        </w:numPr>
        <w:ind w:left="0"/>
      </w:pPr>
      <w:r w:rsidRPr="00816981">
        <w:rPr>
          <w:bCs/>
        </w:rPr>
        <w:t xml:space="preserve">Employees </w:t>
      </w:r>
      <w:r w:rsidR="00DF74AF" w:rsidRPr="00816981">
        <w:rPr>
          <w:bCs/>
        </w:rPr>
        <w:t>shall</w:t>
      </w:r>
      <w:r w:rsidRPr="00816981">
        <w:rPr>
          <w:bCs/>
        </w:rPr>
        <w:t xml:space="preserve"> not </w:t>
      </w:r>
      <w:r w:rsidR="00DF74AF" w:rsidRPr="00816981">
        <w:rPr>
          <w:bCs/>
        </w:rPr>
        <w:t xml:space="preserve">be </w:t>
      </w:r>
      <w:r w:rsidRPr="00816981">
        <w:rPr>
          <w:bCs/>
        </w:rPr>
        <w:t xml:space="preserve">authorized per diem for travel </w:t>
      </w:r>
      <w:r w:rsidR="00DF74AF" w:rsidRPr="00816981">
        <w:rPr>
          <w:bCs/>
        </w:rPr>
        <w:t xml:space="preserve">expenses </w:t>
      </w:r>
      <w:r w:rsidRPr="00816981">
        <w:rPr>
          <w:bCs/>
        </w:rPr>
        <w:t>at the</w:t>
      </w:r>
      <w:r w:rsidR="00DF74AF" w:rsidRPr="00816981">
        <w:rPr>
          <w:bCs/>
        </w:rPr>
        <w:t>ir</w:t>
      </w:r>
      <w:r w:rsidRPr="00816981">
        <w:rPr>
          <w:bCs/>
        </w:rPr>
        <w:t xml:space="preserve"> P</w:t>
      </w:r>
      <w:r w:rsidR="00E15493" w:rsidRPr="00816981">
        <w:rPr>
          <w:bCs/>
        </w:rPr>
        <w:t xml:space="preserve">ermanent </w:t>
      </w:r>
      <w:r w:rsidRPr="00816981">
        <w:rPr>
          <w:bCs/>
        </w:rPr>
        <w:t>D</w:t>
      </w:r>
      <w:r w:rsidR="00E15493" w:rsidRPr="00816981">
        <w:rPr>
          <w:bCs/>
        </w:rPr>
        <w:t xml:space="preserve">uty </w:t>
      </w:r>
      <w:r w:rsidRPr="00816981">
        <w:rPr>
          <w:bCs/>
        </w:rPr>
        <w:t>S</w:t>
      </w:r>
      <w:r w:rsidR="00E15493" w:rsidRPr="00816981">
        <w:rPr>
          <w:bCs/>
        </w:rPr>
        <w:t>tation (PDS)</w:t>
      </w:r>
      <w:r w:rsidRPr="00816981">
        <w:rPr>
          <w:bCs/>
        </w:rPr>
        <w:t xml:space="preserve"> during the </w:t>
      </w:r>
      <w:r w:rsidR="0040699B" w:rsidRPr="00816981">
        <w:rPr>
          <w:bCs/>
        </w:rPr>
        <w:t>ETDY</w:t>
      </w:r>
      <w:r w:rsidRPr="00816981">
        <w:rPr>
          <w:bCs/>
        </w:rPr>
        <w:t xml:space="preserve"> work or training assignment.</w:t>
      </w:r>
      <w:r w:rsidR="00B1583E">
        <w:rPr>
          <w:bCs/>
        </w:rPr>
        <w:t xml:space="preserve"> </w:t>
      </w:r>
      <w:r w:rsidRPr="00816981">
        <w:rPr>
          <w:bCs/>
        </w:rPr>
        <w:t xml:space="preserve"> However, when official travel is performed at the PDS, the employee will</w:t>
      </w:r>
      <w:r w:rsidR="00FA6BE8" w:rsidRPr="00816981">
        <w:rPr>
          <w:bCs/>
        </w:rPr>
        <w:t xml:space="preserve"> continue to </w:t>
      </w:r>
      <w:r w:rsidRPr="00816981">
        <w:rPr>
          <w:bCs/>
        </w:rPr>
        <w:t xml:space="preserve">receive up to </w:t>
      </w:r>
      <w:r w:rsidR="00A15680" w:rsidRPr="00816981">
        <w:rPr>
          <w:bCs/>
        </w:rPr>
        <w:t>65</w:t>
      </w:r>
      <w:r w:rsidR="00AA6A17">
        <w:rPr>
          <w:bCs/>
        </w:rPr>
        <w:t xml:space="preserve"> percent</w:t>
      </w:r>
      <w:r w:rsidR="00DF393A" w:rsidRPr="00816981">
        <w:rPr>
          <w:bCs/>
        </w:rPr>
        <w:t xml:space="preserve"> </w:t>
      </w:r>
      <w:r w:rsidRPr="00816981">
        <w:rPr>
          <w:bCs/>
        </w:rPr>
        <w:t xml:space="preserve">of the lodging rate at the </w:t>
      </w:r>
      <w:r w:rsidR="0040699B" w:rsidRPr="00816981">
        <w:rPr>
          <w:bCs/>
        </w:rPr>
        <w:t>ETDY</w:t>
      </w:r>
      <w:r w:rsidRPr="00816981">
        <w:rPr>
          <w:bCs/>
        </w:rPr>
        <w:t xml:space="preserve"> site.</w:t>
      </w:r>
    </w:p>
    <w:p w14:paraId="36913FF7" w14:textId="23928E0B" w:rsidR="00005D8A" w:rsidRPr="00816981" w:rsidRDefault="00005D8A" w:rsidP="003623DF">
      <w:pPr>
        <w:pStyle w:val="NPR3"/>
        <w:numPr>
          <w:ilvl w:val="2"/>
          <w:numId w:val="1"/>
        </w:numPr>
        <w:ind w:left="0"/>
      </w:pPr>
      <w:r w:rsidRPr="00816981">
        <w:t xml:space="preserve">Reduced lodging costs are those expenses other than meals authorized in the </w:t>
      </w:r>
      <w:r w:rsidR="0040699B" w:rsidRPr="00816981">
        <w:t>ETDY</w:t>
      </w:r>
      <w:r w:rsidRPr="00816981">
        <w:t xml:space="preserve"> per diem rate. </w:t>
      </w:r>
      <w:r w:rsidR="004036E0">
        <w:t xml:space="preserve"> </w:t>
      </w:r>
      <w:r w:rsidRPr="00816981">
        <w:t>The following are example</w:t>
      </w:r>
      <w:r w:rsidR="00AA6A17">
        <w:t>s</w:t>
      </w:r>
      <w:r w:rsidRPr="00816981">
        <w:t xml:space="preserve"> of items included in the reduced lodging costs: </w:t>
      </w:r>
    </w:p>
    <w:p w14:paraId="7D4FC6C9" w14:textId="77777777" w:rsidR="00D52BC9" w:rsidRPr="00816981" w:rsidRDefault="00D52BC9">
      <w:pPr>
        <w:pStyle w:val="NPRLista"/>
        <w:numPr>
          <w:ilvl w:val="0"/>
          <w:numId w:val="19"/>
        </w:numPr>
        <w:ind w:left="0" w:firstLine="0"/>
      </w:pPr>
      <w:r w:rsidRPr="00816981">
        <w:t>Rental cost of necessary furniture and appliances if renting an unfurnished dwelling</w:t>
      </w:r>
      <w:r w:rsidR="00F41280" w:rsidRPr="00816981">
        <w:t>.</w:t>
      </w:r>
    </w:p>
    <w:p w14:paraId="788A07F9" w14:textId="77777777" w:rsidR="00D52BC9" w:rsidRPr="00816981" w:rsidRDefault="00005D8A">
      <w:pPr>
        <w:pStyle w:val="NPRLista"/>
      </w:pPr>
      <w:r w:rsidRPr="00816981">
        <w:t>The cost of connection use and disco</w:t>
      </w:r>
      <w:r w:rsidR="00F41280" w:rsidRPr="00816981">
        <w:t>nnection of utilities.</w:t>
      </w:r>
    </w:p>
    <w:p w14:paraId="6260DE81" w14:textId="072C48DF" w:rsidR="00F41280" w:rsidRPr="00816981" w:rsidRDefault="00005D8A">
      <w:pPr>
        <w:pStyle w:val="NPRLista"/>
      </w:pPr>
      <w:r w:rsidRPr="00816981">
        <w:t xml:space="preserve">Monthly telephone use fee for landline (does not include installation and </w:t>
      </w:r>
      <w:r w:rsidR="00F61B74" w:rsidRPr="00816981">
        <w:t>long-distance</w:t>
      </w:r>
      <w:r w:rsidRPr="00816981">
        <w:t xml:space="preserve"> calls)</w:t>
      </w:r>
      <w:r w:rsidR="00F41280" w:rsidRPr="00816981">
        <w:t>.</w:t>
      </w:r>
    </w:p>
    <w:p w14:paraId="3944EF3A" w14:textId="77777777" w:rsidR="00005D8A" w:rsidRPr="00816981" w:rsidRDefault="00F41280">
      <w:pPr>
        <w:pStyle w:val="NPRLista"/>
      </w:pPr>
      <w:r w:rsidRPr="00816981">
        <w:t>Basic cable TV service.</w:t>
      </w:r>
    </w:p>
    <w:p w14:paraId="249A6148" w14:textId="77777777" w:rsidR="00005D8A" w:rsidRPr="00816981" w:rsidRDefault="00005D8A">
      <w:pPr>
        <w:pStyle w:val="NPRLista"/>
      </w:pPr>
      <w:r w:rsidRPr="00816981">
        <w:lastRenderedPageBreak/>
        <w:t>Internet service</w:t>
      </w:r>
      <w:r w:rsidR="00F41280" w:rsidRPr="00816981">
        <w:t>.</w:t>
      </w:r>
    </w:p>
    <w:p w14:paraId="5192DF7F" w14:textId="5DDE1738" w:rsidR="00D03E6E" w:rsidRPr="00816981" w:rsidRDefault="00374FFD" w:rsidP="003623DF">
      <w:pPr>
        <w:pStyle w:val="NPR3"/>
        <w:numPr>
          <w:ilvl w:val="2"/>
          <w:numId w:val="1"/>
        </w:numPr>
        <w:ind w:left="0"/>
      </w:pPr>
      <w:r w:rsidRPr="00816981">
        <w:rPr>
          <w:bCs/>
        </w:rPr>
        <w:t xml:space="preserve">NASA will authorize reduced per diem when two spouses are performing an </w:t>
      </w:r>
      <w:r w:rsidR="0040699B" w:rsidRPr="00816981">
        <w:rPr>
          <w:bCs/>
        </w:rPr>
        <w:t>ETDY</w:t>
      </w:r>
      <w:r w:rsidRPr="00816981">
        <w:rPr>
          <w:bCs/>
        </w:rPr>
        <w:t xml:space="preserve"> assignment during the same timeframe at the same location</w:t>
      </w:r>
      <w:r w:rsidR="00DF393A" w:rsidRPr="00816981">
        <w:rPr>
          <w:bCs/>
        </w:rPr>
        <w:t xml:space="preserve"> </w:t>
      </w:r>
      <w:r w:rsidR="00EF5F53" w:rsidRPr="00816981">
        <w:rPr>
          <w:bCs/>
        </w:rPr>
        <w:t xml:space="preserve">under the </w:t>
      </w:r>
      <w:r w:rsidRPr="00816981">
        <w:rPr>
          <w:bCs/>
        </w:rPr>
        <w:t>following</w:t>
      </w:r>
      <w:r w:rsidR="00EF5F53" w:rsidRPr="00816981">
        <w:rPr>
          <w:bCs/>
        </w:rPr>
        <w:t xml:space="preserve"> circumstances</w:t>
      </w:r>
      <w:r w:rsidRPr="00816981">
        <w:rPr>
          <w:bCs/>
        </w:rPr>
        <w:t>:</w:t>
      </w:r>
    </w:p>
    <w:p w14:paraId="0A94EAE6" w14:textId="77777777" w:rsidR="00D075E6" w:rsidRPr="00816981" w:rsidRDefault="00D075E6">
      <w:pPr>
        <w:pStyle w:val="NPRLista"/>
        <w:numPr>
          <w:ilvl w:val="0"/>
          <w:numId w:val="20"/>
        </w:numPr>
        <w:ind w:left="0" w:firstLine="0"/>
      </w:pPr>
      <w:r w:rsidRPr="00816981">
        <w:t>One spouse will be authorized up to 65</w:t>
      </w:r>
      <w:r w:rsidR="00AA6A17">
        <w:t xml:space="preserve"> percent</w:t>
      </w:r>
      <w:r w:rsidRPr="00816981">
        <w:t xml:space="preserve"> of the maximum per diem rate established for the </w:t>
      </w:r>
      <w:r w:rsidR="0040699B" w:rsidRPr="00816981">
        <w:t>ETDY</w:t>
      </w:r>
      <w:r w:rsidRPr="00816981">
        <w:t xml:space="preserve"> location. </w:t>
      </w:r>
    </w:p>
    <w:p w14:paraId="0E043247" w14:textId="29C12814" w:rsidR="00D075E6" w:rsidRPr="00816981" w:rsidRDefault="00D075E6">
      <w:pPr>
        <w:pStyle w:val="NPRLista"/>
      </w:pPr>
      <w:r w:rsidRPr="00816981">
        <w:t xml:space="preserve">The accompanying spouse will be authorized up to </w:t>
      </w:r>
      <w:r w:rsidR="00E53FF3">
        <w:t>65 percent</w:t>
      </w:r>
      <w:r w:rsidRPr="00816981">
        <w:t xml:space="preserve"> of the Meals </w:t>
      </w:r>
      <w:r w:rsidR="00AA6A17">
        <w:t>and</w:t>
      </w:r>
      <w:r w:rsidR="00AA6A17" w:rsidRPr="00816981">
        <w:t xml:space="preserve"> </w:t>
      </w:r>
      <w:r w:rsidRPr="00816981">
        <w:t>Incidental Expenses (M&amp;IE) only, established for the location.</w:t>
      </w:r>
      <w:r w:rsidR="00833FE7" w:rsidRPr="00816981">
        <w:t xml:space="preserve"> </w:t>
      </w:r>
      <w:r w:rsidR="00570C9B">
        <w:t xml:space="preserve"> </w:t>
      </w:r>
      <w:r w:rsidRPr="00816981">
        <w:t>M&amp;IE allowance should cover any additional lodging expenses, such as utilities, incurred by the</w:t>
      </w:r>
      <w:r w:rsidR="006E2F2E" w:rsidRPr="00816981">
        <w:t xml:space="preserve"> accompanying </w:t>
      </w:r>
      <w:r w:rsidRPr="00816981">
        <w:t>spouse while occupying the same lodging facility.</w:t>
      </w:r>
    </w:p>
    <w:p w14:paraId="52099486" w14:textId="77777777" w:rsidR="00D075E6" w:rsidRPr="00816981" w:rsidRDefault="00D075E6">
      <w:pPr>
        <w:pStyle w:val="NPRLista"/>
      </w:pPr>
      <w:r w:rsidRPr="00816981">
        <w:t xml:space="preserve">This additional M&amp;IE allowance will not be authorized for assignment of convenience to the employee. </w:t>
      </w:r>
      <w:r w:rsidR="00B1583E">
        <w:t xml:space="preserve"> </w:t>
      </w:r>
      <w:r w:rsidRPr="00816981">
        <w:t>The decision as to whether the assignment is one with no additional M&amp;IE allowance or an assignment that include</w:t>
      </w:r>
      <w:r w:rsidR="00E53FF3">
        <w:t>s</w:t>
      </w:r>
      <w:r w:rsidRPr="00816981">
        <w:t xml:space="preserve"> the additional M&amp;IE allowance will be determined on a case-by- case basis by the staffing needs of the NASA Centers and the employment qualification of the employees involved. </w:t>
      </w:r>
    </w:p>
    <w:p w14:paraId="5493C480" w14:textId="13BF9925" w:rsidR="00440DEB" w:rsidRPr="00816981" w:rsidRDefault="00440DEB" w:rsidP="003623DF">
      <w:pPr>
        <w:pStyle w:val="NPR2"/>
        <w:numPr>
          <w:ilvl w:val="1"/>
          <w:numId w:val="1"/>
        </w:numPr>
      </w:pPr>
      <w:r w:rsidRPr="00816981">
        <w:t>Waiver Request and Approval</w:t>
      </w:r>
    </w:p>
    <w:p w14:paraId="43E64AF3" w14:textId="1AF727B5" w:rsidR="00440DEB" w:rsidRPr="00816981" w:rsidRDefault="009135A5" w:rsidP="003623DF">
      <w:pPr>
        <w:pStyle w:val="NPR3"/>
        <w:numPr>
          <w:ilvl w:val="0"/>
          <w:numId w:val="0"/>
        </w:numPr>
        <w:spacing w:after="120"/>
      </w:pPr>
      <w:r w:rsidRPr="00816981">
        <w:t>This policy sets forth NASA’s established per diem rate for ETDY.  In those circumstances where this rate is insufficient to cover the costs for reasonably available lodging or other</w:t>
      </w:r>
      <w:r w:rsidR="00D240D8" w:rsidRPr="00816981">
        <w:t xml:space="preserve"> expenses, t</w:t>
      </w:r>
      <w:r w:rsidR="00440DEB" w:rsidRPr="00816981">
        <w:t xml:space="preserve">he </w:t>
      </w:r>
      <w:r w:rsidR="00D240D8" w:rsidRPr="00816981">
        <w:t>e</w:t>
      </w:r>
      <w:r w:rsidR="00440DEB" w:rsidRPr="00816981">
        <w:t>mployee shall submit a</w:t>
      </w:r>
      <w:r w:rsidR="00D240D8" w:rsidRPr="00816981">
        <w:t xml:space="preserve"> waiver request on the NASA Travel Waiver Request form</w:t>
      </w:r>
      <w:r w:rsidR="00412867" w:rsidRPr="00816981">
        <w:t>, with sufficient detail on pertinent facts</w:t>
      </w:r>
      <w:r w:rsidR="00440DEB" w:rsidRPr="00816981">
        <w:t xml:space="preserve"> and </w:t>
      </w:r>
      <w:r w:rsidR="00412867" w:rsidRPr="00816981">
        <w:t>other considerations,</w:t>
      </w:r>
      <w:r w:rsidRPr="00816981">
        <w:t xml:space="preserve"> to NASA OCFO’s Director for Policy.  The request should include </w:t>
      </w:r>
      <w:r w:rsidR="00412867" w:rsidRPr="00816981">
        <w:t>or be accompanied</w:t>
      </w:r>
      <w:r w:rsidR="00440DEB" w:rsidRPr="00816981">
        <w:t xml:space="preserve"> by the authorizing </w:t>
      </w:r>
      <w:r w:rsidRPr="00816981">
        <w:t>official</w:t>
      </w:r>
      <w:r w:rsidR="00412867" w:rsidRPr="00816981">
        <w:t>’s</w:t>
      </w:r>
      <w:r w:rsidRPr="00816981">
        <w:t xml:space="preserve"> approval and/or comments, as well as confirmation by the </w:t>
      </w:r>
      <w:r w:rsidR="00E53FF3">
        <w:t>NASA Shared Service Center (</w:t>
      </w:r>
      <w:r w:rsidRPr="00816981">
        <w:t>NSSC</w:t>
      </w:r>
      <w:r w:rsidR="00E53FF3">
        <w:t>)</w:t>
      </w:r>
      <w:r w:rsidR="00D240D8" w:rsidRPr="00816981">
        <w:t xml:space="preserve"> of </w:t>
      </w:r>
      <w:r w:rsidRPr="00816981">
        <w:t xml:space="preserve">other pertinent facts or considerations (if any) with respect to </w:t>
      </w:r>
      <w:r w:rsidR="00D240D8" w:rsidRPr="00816981">
        <w:t>the request</w:t>
      </w:r>
      <w:r w:rsidRPr="00816981">
        <w:t xml:space="preserve">.  </w:t>
      </w:r>
      <w:r w:rsidR="00412867" w:rsidRPr="00816981">
        <w:t xml:space="preserve">All waiver requests should be expeditiously processed. </w:t>
      </w:r>
      <w:r w:rsidR="00440DEB" w:rsidRPr="00816981">
        <w:t xml:space="preserve"> </w:t>
      </w:r>
    </w:p>
    <w:p w14:paraId="74D62E0E" w14:textId="48F43F85" w:rsidR="00D240D8" w:rsidRPr="003623DF" w:rsidRDefault="00D240D8" w:rsidP="003623DF">
      <w:pPr>
        <w:pStyle w:val="NPR3"/>
        <w:numPr>
          <w:ilvl w:val="0"/>
          <w:numId w:val="0"/>
        </w:numPr>
        <w:ind w:left="360" w:right="450"/>
        <w:rPr>
          <w:bCs/>
          <w:i/>
        </w:rPr>
      </w:pPr>
      <w:r w:rsidRPr="003623DF">
        <w:rPr>
          <w:bCs/>
          <w:i/>
        </w:rPr>
        <w:t xml:space="preserve">Note: </w:t>
      </w:r>
      <w:r w:rsidR="00E53FF3" w:rsidRPr="003623DF">
        <w:rPr>
          <w:bCs/>
          <w:i/>
        </w:rPr>
        <w:t xml:space="preserve"> </w:t>
      </w:r>
      <w:r w:rsidRPr="003623DF">
        <w:rPr>
          <w:bCs/>
          <w:i/>
        </w:rPr>
        <w:t xml:space="preserve">Applicable supporting documentation </w:t>
      </w:r>
      <w:r w:rsidR="001817D3" w:rsidRPr="003623DF">
        <w:rPr>
          <w:bCs/>
          <w:i/>
        </w:rPr>
        <w:t>will</w:t>
      </w:r>
      <w:r w:rsidR="00E53FF3" w:rsidRPr="003623DF">
        <w:rPr>
          <w:bCs/>
          <w:i/>
        </w:rPr>
        <w:t xml:space="preserve"> be </w:t>
      </w:r>
      <w:r w:rsidRPr="003623DF">
        <w:rPr>
          <w:bCs/>
          <w:i/>
        </w:rPr>
        <w:t xml:space="preserve">submitted with all waiver requests. </w:t>
      </w:r>
    </w:p>
    <w:p w14:paraId="4C56FADC" w14:textId="77777777" w:rsidR="006A5FE8" w:rsidRPr="00816981" w:rsidRDefault="001C026F" w:rsidP="003623DF">
      <w:pPr>
        <w:spacing w:after="0" w:line="240" w:lineRule="auto"/>
        <w:rPr>
          <w:szCs w:val="24"/>
        </w:rPr>
      </w:pPr>
      <w:r w:rsidRPr="00816981">
        <w:br w:type="page"/>
      </w:r>
    </w:p>
    <w:p w14:paraId="3FE2B18C" w14:textId="77777777" w:rsidR="001E3BF9" w:rsidRPr="00816981" w:rsidRDefault="001E3BF9" w:rsidP="00FE4EBA">
      <w:pPr>
        <w:pStyle w:val="NPR10"/>
      </w:pPr>
      <w:bookmarkStart w:id="32" w:name="_Toc482711895"/>
      <w:r w:rsidRPr="00816981">
        <w:lastRenderedPageBreak/>
        <w:t>E</w:t>
      </w:r>
      <w:r w:rsidR="00C203BC" w:rsidRPr="00816981">
        <w:t xml:space="preserve">xtended </w:t>
      </w:r>
      <w:r w:rsidRPr="00816981">
        <w:t>TDY Expense Allowances</w:t>
      </w:r>
      <w:bookmarkEnd w:id="32"/>
    </w:p>
    <w:p w14:paraId="76C229B6" w14:textId="28C6EB6C" w:rsidR="001E3BF9" w:rsidRPr="00816981" w:rsidRDefault="00D27A18" w:rsidP="00FE4EBA">
      <w:pPr>
        <w:pStyle w:val="NPR2"/>
        <w:numPr>
          <w:ilvl w:val="1"/>
          <w:numId w:val="1"/>
        </w:numPr>
      </w:pPr>
      <w:bookmarkStart w:id="33" w:name="_Toc482711896"/>
      <w:r w:rsidRPr="00816981">
        <w:t>Lodging</w:t>
      </w:r>
      <w:r w:rsidR="003D48CC" w:rsidRPr="00816981">
        <w:t xml:space="preserve"> and M&amp;IE</w:t>
      </w:r>
      <w:r w:rsidR="001E3BF9" w:rsidRPr="00816981">
        <w:t xml:space="preserve"> Allowances</w:t>
      </w:r>
      <w:bookmarkEnd w:id="33"/>
    </w:p>
    <w:p w14:paraId="1F9B77BD" w14:textId="6A634212" w:rsidR="00FE4EBA" w:rsidRDefault="00481643" w:rsidP="00FE4EBA">
      <w:pPr>
        <w:pStyle w:val="NPR3"/>
        <w:numPr>
          <w:ilvl w:val="2"/>
          <w:numId w:val="1"/>
        </w:numPr>
        <w:ind w:left="0"/>
      </w:pPr>
      <w:r w:rsidRPr="00816981">
        <w:t>Prior to</w:t>
      </w:r>
      <w:r w:rsidR="006D17F7" w:rsidRPr="00816981">
        <w:t xml:space="preserve"> </w:t>
      </w:r>
      <w:r w:rsidR="00975B45" w:rsidRPr="00816981">
        <w:t>committing to a</w:t>
      </w:r>
      <w:r w:rsidR="006D17F7" w:rsidRPr="00816981">
        <w:t xml:space="preserve"> lodging </w:t>
      </w:r>
      <w:r w:rsidR="00975B45" w:rsidRPr="00816981">
        <w:t xml:space="preserve">agreement </w:t>
      </w:r>
      <w:r w:rsidR="006D17F7" w:rsidRPr="00816981">
        <w:t xml:space="preserve">for the </w:t>
      </w:r>
      <w:r w:rsidR="0040699B" w:rsidRPr="00816981">
        <w:t>ETDY</w:t>
      </w:r>
      <w:r w:rsidR="00C203BC" w:rsidRPr="00816981">
        <w:t xml:space="preserve"> </w:t>
      </w:r>
      <w:r w:rsidR="006D17F7" w:rsidRPr="00816981">
        <w:t>assignment</w:t>
      </w:r>
      <w:r w:rsidRPr="00816981">
        <w:t>, the e</w:t>
      </w:r>
      <w:r w:rsidR="00333AA2" w:rsidRPr="00816981">
        <w:t xml:space="preserve">mployee </w:t>
      </w:r>
      <w:r w:rsidR="00975B45" w:rsidRPr="00816981">
        <w:t>should</w:t>
      </w:r>
      <w:r w:rsidR="00333AA2" w:rsidRPr="00816981">
        <w:t xml:space="preserve"> have</w:t>
      </w:r>
      <w:r w:rsidR="00B47652" w:rsidRPr="00816981">
        <w:t xml:space="preserve"> a</w:t>
      </w:r>
      <w:r w:rsidR="00975B45" w:rsidRPr="00816981">
        <w:t xml:space="preserve">n approved ETDY authorization.  </w:t>
      </w:r>
      <w:r w:rsidR="007F2E39" w:rsidRPr="00816981">
        <w:t>A</w:t>
      </w:r>
      <w:r w:rsidR="00B47652" w:rsidRPr="00816981">
        <w:t xml:space="preserve"> copy </w:t>
      </w:r>
      <w:r w:rsidR="00975B45" w:rsidRPr="00816981">
        <w:t>of any</w:t>
      </w:r>
      <w:r w:rsidR="00556C37" w:rsidRPr="00816981">
        <w:t xml:space="preserve"> </w:t>
      </w:r>
      <w:r w:rsidR="002148CC" w:rsidRPr="00816981">
        <w:t xml:space="preserve">proposed </w:t>
      </w:r>
      <w:r w:rsidR="00556C37" w:rsidRPr="00816981">
        <w:t xml:space="preserve">lodging agreement </w:t>
      </w:r>
      <w:r w:rsidR="00975B45" w:rsidRPr="00816981">
        <w:t>should be sent</w:t>
      </w:r>
      <w:r w:rsidR="00784DC7" w:rsidRPr="00816981">
        <w:t xml:space="preserve"> </w:t>
      </w:r>
      <w:r w:rsidR="006D17F7" w:rsidRPr="00816981">
        <w:t xml:space="preserve">to the NSSC for </w:t>
      </w:r>
      <w:r w:rsidR="00975B45" w:rsidRPr="00816981">
        <w:t>review and counseling</w:t>
      </w:r>
      <w:r w:rsidR="006D17F7" w:rsidRPr="00816981">
        <w:t>.</w:t>
      </w:r>
      <w:r w:rsidR="00B1583E">
        <w:t xml:space="preserve"> </w:t>
      </w:r>
      <w:r w:rsidR="006D17F7" w:rsidRPr="00816981">
        <w:t xml:space="preserve"> </w:t>
      </w:r>
      <w:r w:rsidR="003D48CC" w:rsidRPr="00816981">
        <w:t>Employee</w:t>
      </w:r>
      <w:r w:rsidR="00975B45" w:rsidRPr="00816981">
        <w:t>s</w:t>
      </w:r>
      <w:r w:rsidR="003D48CC" w:rsidRPr="00816981">
        <w:t xml:space="preserve"> </w:t>
      </w:r>
      <w:r w:rsidR="00975B45" w:rsidRPr="00816981">
        <w:t>who sign agreements prior to NSSC’s review and prior to authorization</w:t>
      </w:r>
      <w:r w:rsidR="003D48CC" w:rsidRPr="00816981">
        <w:t xml:space="preserve"> may be </w:t>
      </w:r>
      <w:r w:rsidR="00975B45" w:rsidRPr="00816981">
        <w:t xml:space="preserve">at risk of </w:t>
      </w:r>
      <w:r w:rsidR="003D48CC" w:rsidRPr="00816981">
        <w:t xml:space="preserve">not </w:t>
      </w:r>
      <w:r w:rsidR="00975B45" w:rsidRPr="00816981">
        <w:t xml:space="preserve">being reimbursed for costs incurred in excess of the </w:t>
      </w:r>
      <w:r w:rsidR="003D48CC" w:rsidRPr="00816981">
        <w:t xml:space="preserve">approved </w:t>
      </w:r>
      <w:r w:rsidR="00975B45" w:rsidRPr="00816981">
        <w:t xml:space="preserve">authorization.  </w:t>
      </w:r>
      <w:r w:rsidR="003D48CC" w:rsidRPr="00816981">
        <w:t xml:space="preserve"> </w:t>
      </w:r>
    </w:p>
    <w:p w14:paraId="221D6BCB" w14:textId="2B5CBBC0" w:rsidR="00647172" w:rsidRPr="00816981" w:rsidRDefault="00AA331A" w:rsidP="00FE4EBA">
      <w:pPr>
        <w:pStyle w:val="NPR3"/>
        <w:numPr>
          <w:ilvl w:val="2"/>
          <w:numId w:val="1"/>
        </w:numPr>
        <w:ind w:left="0"/>
      </w:pPr>
      <w:r w:rsidRPr="00816981">
        <w:t>NASA’s standard reduced per diem rate for ETDY travel is</w:t>
      </w:r>
      <w:r w:rsidR="00211946" w:rsidRPr="00816981">
        <w:t xml:space="preserve"> </w:t>
      </w:r>
      <w:r w:rsidR="00E53FF3">
        <w:t>65 percent</w:t>
      </w:r>
      <w:r w:rsidRPr="00816981">
        <w:t xml:space="preserve">.  </w:t>
      </w:r>
    </w:p>
    <w:p w14:paraId="5DBD21A9" w14:textId="47F5479E" w:rsidR="008D6BFC" w:rsidRDefault="001817D3">
      <w:pPr>
        <w:pStyle w:val="NPRLista"/>
        <w:numPr>
          <w:ilvl w:val="0"/>
          <w:numId w:val="21"/>
        </w:numPr>
        <w:ind w:left="0" w:firstLine="0"/>
      </w:pPr>
      <w:r>
        <w:t>A</w:t>
      </w:r>
      <w:r w:rsidR="00AA331A" w:rsidRPr="00816981">
        <w:t>n ETDY authorization can include reasonable further reductions from this standard rate or limitations on approved lodging for unique circumstances, to the extent it can be determined in advance that such will substantially lower costs without mission impact.</w:t>
      </w:r>
      <w:r w:rsidR="00B1583E">
        <w:t xml:space="preserve"> </w:t>
      </w:r>
      <w:r w:rsidR="00AA331A" w:rsidRPr="00816981">
        <w:t xml:space="preserve"> For example, if lodging is obtained at 50</w:t>
      </w:r>
      <w:r w:rsidR="00E53FF3">
        <w:t xml:space="preserve"> percent</w:t>
      </w:r>
      <w:r w:rsidR="00E53FF3" w:rsidRPr="00816981">
        <w:t xml:space="preserve"> </w:t>
      </w:r>
      <w:r w:rsidR="00AA331A" w:rsidRPr="00816981">
        <w:t>per diem, the ETDY authorization should be adjusted to authorize a lower rate.</w:t>
      </w:r>
    </w:p>
    <w:p w14:paraId="3BC14535" w14:textId="21DCCAE5" w:rsidR="0029075D" w:rsidRPr="00816981" w:rsidRDefault="00E67DEA">
      <w:pPr>
        <w:pStyle w:val="NPRLista"/>
      </w:pPr>
      <w:r w:rsidRPr="00816981">
        <w:t>The</w:t>
      </w:r>
      <w:r w:rsidR="007A6F03" w:rsidRPr="00816981">
        <w:t xml:space="preserve"> reduced rate of reimbursement begin</w:t>
      </w:r>
      <w:r w:rsidR="00AA331A" w:rsidRPr="00816981">
        <w:t>s</w:t>
      </w:r>
      <w:r w:rsidR="007A6F03" w:rsidRPr="00816981">
        <w:t xml:space="preserve"> on the first day of travel regardless of the mode of transportation</w:t>
      </w:r>
      <w:r w:rsidR="00E53FF3">
        <w:t>,</w:t>
      </w:r>
      <w:r w:rsidR="00F13ABB">
        <w:t xml:space="preserve"> except as noted in 3.1.</w:t>
      </w:r>
      <w:r w:rsidR="0006467F">
        <w:t>3</w:t>
      </w:r>
      <w:r w:rsidR="00F13ABB">
        <w:t xml:space="preserve"> below</w:t>
      </w:r>
      <w:r w:rsidR="007A6F03" w:rsidRPr="00816981">
        <w:t>.</w:t>
      </w:r>
      <w:r w:rsidR="00B1583E">
        <w:t xml:space="preserve"> </w:t>
      </w:r>
      <w:r w:rsidR="007A6F03" w:rsidRPr="00816981">
        <w:t xml:space="preserve"> Allowances are covered by the reduced per diem rate; therefore, NASA will authorize the employee a per diem rate (up to </w:t>
      </w:r>
      <w:r w:rsidR="00E53FF3">
        <w:t>65 percent</w:t>
      </w:r>
      <w:r w:rsidR="007A6F03" w:rsidRPr="00816981">
        <w:t xml:space="preserve">) </w:t>
      </w:r>
      <w:r w:rsidR="00647172" w:rsidRPr="00816981">
        <w:t xml:space="preserve">to reasonably cover expenses for </w:t>
      </w:r>
      <w:r w:rsidR="00C647F8" w:rsidRPr="00816981">
        <w:t>a</w:t>
      </w:r>
      <w:r w:rsidR="0029075D" w:rsidRPr="00816981">
        <w:t xml:space="preserve"> one bedroom furnished apartment. </w:t>
      </w:r>
      <w:r w:rsidR="00B1583E">
        <w:t xml:space="preserve"> </w:t>
      </w:r>
      <w:r w:rsidR="0029075D" w:rsidRPr="00816981">
        <w:t xml:space="preserve">For </w:t>
      </w:r>
      <w:r w:rsidR="0040699B" w:rsidRPr="00816981">
        <w:t>ETDY</w:t>
      </w:r>
      <w:r w:rsidR="0029075D" w:rsidRPr="00816981">
        <w:t xml:space="preserve"> greater than 90 days, first consideration </w:t>
      </w:r>
      <w:r w:rsidR="00647172" w:rsidRPr="00816981">
        <w:t>should be</w:t>
      </w:r>
      <w:r w:rsidR="0029075D" w:rsidRPr="00816981">
        <w:t xml:space="preserve"> given to </w:t>
      </w:r>
      <w:r w:rsidR="0083230F" w:rsidRPr="00816981">
        <w:t>l</w:t>
      </w:r>
      <w:r w:rsidR="0029075D" w:rsidRPr="00816981">
        <w:t xml:space="preserve">ong-term </w:t>
      </w:r>
      <w:r w:rsidR="0083230F" w:rsidRPr="00816981">
        <w:t>l</w:t>
      </w:r>
      <w:r w:rsidR="0029075D" w:rsidRPr="00816981">
        <w:t xml:space="preserve">odging </w:t>
      </w:r>
      <w:r w:rsidR="0083230F" w:rsidRPr="00816981">
        <w:t>f</w:t>
      </w:r>
      <w:r w:rsidR="0029075D" w:rsidRPr="00816981">
        <w:t xml:space="preserve">acilities. </w:t>
      </w:r>
      <w:r w:rsidR="00B1583E">
        <w:t xml:space="preserve"> </w:t>
      </w:r>
      <w:r w:rsidR="0029075D" w:rsidRPr="00816981">
        <w:t xml:space="preserve">Long-term </w:t>
      </w:r>
      <w:r w:rsidR="0083230F" w:rsidRPr="00816981">
        <w:t>l</w:t>
      </w:r>
      <w:r w:rsidR="0029075D" w:rsidRPr="00816981">
        <w:t>odging facilities are</w:t>
      </w:r>
      <w:r w:rsidR="0083230F" w:rsidRPr="00816981">
        <w:t xml:space="preserve"> </w:t>
      </w:r>
      <w:r w:rsidR="0029075D" w:rsidRPr="00816981">
        <w:t xml:space="preserve">available on the GSA schedule at </w:t>
      </w:r>
      <w:r w:rsidR="0029075D" w:rsidRPr="008E240F">
        <w:t>http://www.gsa.gov</w:t>
      </w:r>
      <w:r w:rsidR="0029075D" w:rsidRPr="008E240F">
        <w:rPr>
          <w:rStyle w:val="Hyperlink"/>
          <w:color w:val="auto"/>
          <w:u w:val="none"/>
        </w:rPr>
        <w:t xml:space="preserve">. </w:t>
      </w:r>
      <w:r w:rsidR="0029075D" w:rsidRPr="00816981">
        <w:rPr>
          <w:rStyle w:val="Hyperlink"/>
          <w:color w:val="000000" w:themeColor="text1"/>
          <w:u w:val="none"/>
        </w:rPr>
        <w:t xml:space="preserve"> If a </w:t>
      </w:r>
      <w:r w:rsidR="0083230F" w:rsidRPr="00816981">
        <w:rPr>
          <w:rStyle w:val="Hyperlink"/>
          <w:color w:val="000000" w:themeColor="text1"/>
          <w:u w:val="none"/>
        </w:rPr>
        <w:t>l</w:t>
      </w:r>
      <w:r w:rsidR="0029075D" w:rsidRPr="00816981">
        <w:rPr>
          <w:rStyle w:val="Hyperlink"/>
          <w:color w:val="000000" w:themeColor="text1"/>
          <w:u w:val="none"/>
        </w:rPr>
        <w:t>ong-term</w:t>
      </w:r>
      <w:r w:rsidR="0029075D" w:rsidRPr="00816981">
        <w:rPr>
          <w:color w:val="000000"/>
        </w:rPr>
        <w:t xml:space="preserve"> </w:t>
      </w:r>
      <w:r w:rsidR="0083230F" w:rsidRPr="00816981">
        <w:rPr>
          <w:color w:val="000000"/>
        </w:rPr>
        <w:t>f</w:t>
      </w:r>
      <w:r w:rsidR="0029075D" w:rsidRPr="00816981">
        <w:rPr>
          <w:color w:val="000000"/>
        </w:rPr>
        <w:t xml:space="preserve">acility is not selected, proper justification </w:t>
      </w:r>
      <w:r w:rsidR="00647172" w:rsidRPr="00816981">
        <w:rPr>
          <w:color w:val="000000"/>
        </w:rPr>
        <w:t>should</w:t>
      </w:r>
      <w:r w:rsidR="0029075D" w:rsidRPr="00816981">
        <w:rPr>
          <w:color w:val="000000"/>
        </w:rPr>
        <w:t xml:space="preserve"> be provided.</w:t>
      </w:r>
      <w:r w:rsidR="0029075D" w:rsidRPr="00816981">
        <w:t xml:space="preserve"> </w:t>
      </w:r>
    </w:p>
    <w:p w14:paraId="0088E2EA" w14:textId="5C52212F" w:rsidR="0029075D" w:rsidRPr="006B58FF" w:rsidRDefault="0029075D" w:rsidP="00FE4EBA">
      <w:pPr>
        <w:pStyle w:val="NPR3"/>
        <w:numPr>
          <w:ilvl w:val="0"/>
          <w:numId w:val="0"/>
        </w:numPr>
        <w:ind w:left="360" w:right="360"/>
        <w:rPr>
          <w:i/>
        </w:rPr>
      </w:pPr>
      <w:r w:rsidRPr="006B58FF">
        <w:rPr>
          <w:i/>
        </w:rPr>
        <w:t xml:space="preserve">Note: </w:t>
      </w:r>
      <w:r w:rsidR="00E53FF3">
        <w:rPr>
          <w:i/>
        </w:rPr>
        <w:t xml:space="preserve"> </w:t>
      </w:r>
      <w:r w:rsidR="00AA331A" w:rsidRPr="006B58FF">
        <w:rPr>
          <w:i/>
        </w:rPr>
        <w:t xml:space="preserve">Where this policy refers to ETDY per diem as up to </w:t>
      </w:r>
      <w:r w:rsidR="00E53FF3">
        <w:rPr>
          <w:i/>
        </w:rPr>
        <w:t>65 percent</w:t>
      </w:r>
      <w:r w:rsidR="00AA331A" w:rsidRPr="006B58FF">
        <w:rPr>
          <w:i/>
        </w:rPr>
        <w:t xml:space="preserve">, this does not mean amounts less than authorized per diem can be paid.  A traveler is entitled to the amount authorized, and the standard rate is </w:t>
      </w:r>
      <w:r w:rsidR="00E53FF3">
        <w:rPr>
          <w:i/>
        </w:rPr>
        <w:t>65 percent</w:t>
      </w:r>
      <w:r w:rsidR="00AA331A" w:rsidRPr="006B58FF">
        <w:rPr>
          <w:i/>
        </w:rPr>
        <w:t xml:space="preserve">.  However, this does reflect that in some cases it is appropriate to authorize a lesser per diem allowance </w:t>
      </w:r>
      <w:r w:rsidR="00647172" w:rsidRPr="006B58FF">
        <w:rPr>
          <w:i/>
        </w:rPr>
        <w:t xml:space="preserve">consistent with this policy and the FTR.  Also, </w:t>
      </w:r>
      <w:r w:rsidR="006B58FF" w:rsidRPr="006B58FF">
        <w:rPr>
          <w:i/>
        </w:rPr>
        <w:t>there</w:t>
      </w:r>
      <w:r w:rsidRPr="006B58FF">
        <w:rPr>
          <w:i/>
        </w:rPr>
        <w:t xml:space="preserve"> is no authority to pay per diem </w:t>
      </w:r>
      <w:r w:rsidR="00647172" w:rsidRPr="006B58FF">
        <w:rPr>
          <w:i/>
        </w:rPr>
        <w:t xml:space="preserve">or additional </w:t>
      </w:r>
      <w:r w:rsidRPr="006B58FF">
        <w:rPr>
          <w:i/>
        </w:rPr>
        <w:t>expenses for family members</w:t>
      </w:r>
      <w:r w:rsidR="00647172" w:rsidRPr="006B58FF">
        <w:rPr>
          <w:i/>
        </w:rPr>
        <w:t xml:space="preserve"> (with exception of employees also on ETDY)</w:t>
      </w:r>
      <w:r w:rsidRPr="006B58FF">
        <w:rPr>
          <w:i/>
        </w:rPr>
        <w:t xml:space="preserve">. </w:t>
      </w:r>
      <w:r w:rsidR="00B1583E">
        <w:rPr>
          <w:i/>
        </w:rPr>
        <w:t xml:space="preserve"> </w:t>
      </w:r>
      <w:r w:rsidRPr="006B58FF">
        <w:rPr>
          <w:i/>
        </w:rPr>
        <w:t xml:space="preserve">An employee who decides to take family members along on the </w:t>
      </w:r>
      <w:r w:rsidR="0040699B" w:rsidRPr="006B58FF">
        <w:rPr>
          <w:i/>
        </w:rPr>
        <w:t>ETDY</w:t>
      </w:r>
      <w:r w:rsidRPr="006B58FF">
        <w:rPr>
          <w:i/>
        </w:rPr>
        <w:t xml:space="preserve"> assignment should be prepared to pay for all their related expenses.</w:t>
      </w:r>
      <w:r w:rsidR="00B1583E">
        <w:rPr>
          <w:i/>
        </w:rPr>
        <w:t xml:space="preserve">  </w:t>
      </w:r>
      <w:r w:rsidRPr="006B58FF">
        <w:rPr>
          <w:i/>
        </w:rPr>
        <w:t xml:space="preserve">If an employee chooses to upgrade their lodging to more than </w:t>
      </w:r>
      <w:r w:rsidR="00CB0410" w:rsidRPr="006B58FF">
        <w:rPr>
          <w:i/>
        </w:rPr>
        <w:t>a</w:t>
      </w:r>
      <w:r w:rsidRPr="006B58FF">
        <w:rPr>
          <w:i/>
        </w:rPr>
        <w:t xml:space="preserve"> one bedroom</w:t>
      </w:r>
      <w:r w:rsidR="00CB0410" w:rsidRPr="006B58FF">
        <w:rPr>
          <w:i/>
        </w:rPr>
        <w:t xml:space="preserve">; the cost of the </w:t>
      </w:r>
      <w:r w:rsidR="002C63EF" w:rsidRPr="006B58FF">
        <w:rPr>
          <w:i/>
        </w:rPr>
        <w:t xml:space="preserve">upgrade will not be reimbursed; the employee will only be reimbursed up to the amount of the one bedroom. </w:t>
      </w:r>
      <w:r w:rsidR="00CB0410" w:rsidRPr="006B58FF">
        <w:rPr>
          <w:i/>
        </w:rPr>
        <w:t xml:space="preserve"> </w:t>
      </w:r>
      <w:r w:rsidRPr="006B58FF">
        <w:rPr>
          <w:i/>
        </w:rPr>
        <w:t xml:space="preserve">For example:  Employee is authorized </w:t>
      </w:r>
      <w:r w:rsidR="0040699B" w:rsidRPr="006B58FF">
        <w:rPr>
          <w:i/>
        </w:rPr>
        <w:t>ETDY</w:t>
      </w:r>
      <w:r w:rsidRPr="006B58FF">
        <w:rPr>
          <w:i/>
        </w:rPr>
        <w:t xml:space="preserve"> travel.  The employee has found a property that has </w:t>
      </w:r>
      <w:r w:rsidR="00F61B74" w:rsidRPr="006B58FF">
        <w:rPr>
          <w:i/>
        </w:rPr>
        <w:t>one- and two-bedroom</w:t>
      </w:r>
      <w:r w:rsidRPr="006B58FF">
        <w:rPr>
          <w:i/>
        </w:rPr>
        <w:t xml:space="preserve"> units. </w:t>
      </w:r>
      <w:r w:rsidR="00A26D4E">
        <w:rPr>
          <w:i/>
        </w:rPr>
        <w:t xml:space="preserve"> </w:t>
      </w:r>
      <w:r w:rsidR="006C029E" w:rsidRPr="006B58FF">
        <w:rPr>
          <w:i/>
        </w:rPr>
        <w:t>Even though cost of both</w:t>
      </w:r>
      <w:r w:rsidR="00A26D4E">
        <w:rPr>
          <w:i/>
        </w:rPr>
        <w:t xml:space="preserve"> the</w:t>
      </w:r>
      <w:r w:rsidR="006C029E" w:rsidRPr="006B58FF">
        <w:rPr>
          <w:i/>
        </w:rPr>
        <w:t xml:space="preserve"> one-bedroom unit and two-bedroom unit fall under the authorized per diem rate (</w:t>
      </w:r>
      <w:r w:rsidR="00E53FF3">
        <w:rPr>
          <w:i/>
        </w:rPr>
        <w:t>65 percent</w:t>
      </w:r>
      <w:r w:rsidR="006C029E" w:rsidRPr="006B58FF">
        <w:rPr>
          <w:i/>
        </w:rPr>
        <w:t xml:space="preserve">) NASA will only </w:t>
      </w:r>
      <w:r w:rsidR="00647172" w:rsidRPr="006B58FF">
        <w:rPr>
          <w:i/>
        </w:rPr>
        <w:t xml:space="preserve">authorize and </w:t>
      </w:r>
      <w:r w:rsidR="006C029E" w:rsidRPr="006B58FF">
        <w:rPr>
          <w:i/>
        </w:rPr>
        <w:t xml:space="preserve">reimburse the employee </w:t>
      </w:r>
      <w:r w:rsidR="00647172" w:rsidRPr="006B58FF">
        <w:rPr>
          <w:i/>
        </w:rPr>
        <w:t>based on</w:t>
      </w:r>
      <w:r w:rsidR="006C029E" w:rsidRPr="006B58FF">
        <w:rPr>
          <w:i/>
        </w:rPr>
        <w:t xml:space="preserve"> the one-bedroom unit</w:t>
      </w:r>
      <w:r w:rsidR="00647172" w:rsidRPr="006B58FF">
        <w:rPr>
          <w:i/>
        </w:rPr>
        <w:t xml:space="preserve"> pricing</w:t>
      </w:r>
      <w:r w:rsidR="006C029E" w:rsidRPr="006B58FF">
        <w:rPr>
          <w:i/>
        </w:rPr>
        <w:t>.</w:t>
      </w:r>
      <w:r w:rsidR="00B1583E">
        <w:rPr>
          <w:i/>
        </w:rPr>
        <w:t xml:space="preserve"> </w:t>
      </w:r>
      <w:r w:rsidR="006C029E" w:rsidRPr="006B58FF">
        <w:rPr>
          <w:i/>
        </w:rPr>
        <w:t xml:space="preserve"> </w:t>
      </w:r>
      <w:r w:rsidRPr="006B58FF">
        <w:rPr>
          <w:i/>
        </w:rPr>
        <w:t>If the employee lease</w:t>
      </w:r>
      <w:r w:rsidR="00F330B9" w:rsidRPr="006B58FF">
        <w:rPr>
          <w:i/>
        </w:rPr>
        <w:t>s</w:t>
      </w:r>
      <w:r w:rsidRPr="006B58FF">
        <w:rPr>
          <w:i/>
        </w:rPr>
        <w:t xml:space="preserve"> an unfurnished lodging facility, the cost to rent furniture cannot exceed the </w:t>
      </w:r>
      <w:r w:rsidR="00E53FF3">
        <w:rPr>
          <w:i/>
        </w:rPr>
        <w:t>65 percent</w:t>
      </w:r>
      <w:r w:rsidRPr="006B58FF">
        <w:rPr>
          <w:i/>
        </w:rPr>
        <w:t xml:space="preserve"> and furniture items can only be rented to </w:t>
      </w:r>
      <w:r w:rsidR="00753750" w:rsidRPr="006B58FF">
        <w:rPr>
          <w:i/>
        </w:rPr>
        <w:t>furnish</w:t>
      </w:r>
      <w:r w:rsidRPr="006B58FF">
        <w:rPr>
          <w:i/>
        </w:rPr>
        <w:t xml:space="preserve"> the one </w:t>
      </w:r>
      <w:r w:rsidR="00753750" w:rsidRPr="006B58FF">
        <w:rPr>
          <w:i/>
        </w:rPr>
        <w:t>b</w:t>
      </w:r>
      <w:r w:rsidRPr="006B58FF">
        <w:rPr>
          <w:i/>
        </w:rPr>
        <w:t>edroom.</w:t>
      </w:r>
    </w:p>
    <w:p w14:paraId="1E75EAA0" w14:textId="4F4631C5" w:rsidR="008D6BFC" w:rsidRDefault="00852F07" w:rsidP="00FE4EBA">
      <w:pPr>
        <w:pStyle w:val="NPR3"/>
        <w:numPr>
          <w:ilvl w:val="2"/>
          <w:numId w:val="1"/>
        </w:numPr>
        <w:spacing w:after="120"/>
        <w:ind w:left="0"/>
      </w:pPr>
      <w:r w:rsidRPr="00816981">
        <w:t xml:space="preserve">Employees performing </w:t>
      </w:r>
      <w:r w:rsidR="0040699B" w:rsidRPr="00816981">
        <w:t>ETDY</w:t>
      </w:r>
      <w:r w:rsidRPr="00816981">
        <w:t xml:space="preserve"> assignments will be authorized per diem allowances for travel </w:t>
      </w:r>
      <w:r w:rsidR="007F4C5D" w:rsidRPr="00816981">
        <w:t xml:space="preserve">when </w:t>
      </w:r>
      <w:r w:rsidR="00206964" w:rsidRPr="00816981">
        <w:t>starting</w:t>
      </w:r>
      <w:r w:rsidR="000E4DC0" w:rsidRPr="00816981">
        <w:t xml:space="preserve"> or </w:t>
      </w:r>
      <w:r w:rsidR="007F4C5D" w:rsidRPr="00816981">
        <w:t>e</w:t>
      </w:r>
      <w:r w:rsidR="000E4DC0" w:rsidRPr="00816981">
        <w:t xml:space="preserve">nding ETDY </w:t>
      </w:r>
      <w:r w:rsidR="007F4C5D" w:rsidRPr="00816981">
        <w:t>t</w:t>
      </w:r>
      <w:r w:rsidR="000E4DC0" w:rsidRPr="00816981">
        <w:t>ravel</w:t>
      </w:r>
      <w:r w:rsidRPr="00816981">
        <w:t xml:space="preserve"> as follows: </w:t>
      </w:r>
    </w:p>
    <w:p w14:paraId="2CB6B7C5" w14:textId="792735B4" w:rsidR="00852F07" w:rsidRPr="008D6BFC" w:rsidRDefault="00F464C8">
      <w:pPr>
        <w:pStyle w:val="NPRLista"/>
        <w:numPr>
          <w:ilvl w:val="0"/>
          <w:numId w:val="22"/>
        </w:numPr>
        <w:ind w:left="0" w:firstLine="0"/>
      </w:pPr>
      <w:r w:rsidRPr="008D6BFC">
        <w:t xml:space="preserve">Lodging Required. </w:t>
      </w:r>
      <w:r w:rsidR="00B1583E" w:rsidRPr="008D6BFC">
        <w:t xml:space="preserve"> </w:t>
      </w:r>
      <w:r w:rsidRPr="008D6BFC">
        <w:t xml:space="preserve">For each full calendar </w:t>
      </w:r>
      <w:r w:rsidR="006B58FF" w:rsidRPr="008D6BFC">
        <w:t>day,</w:t>
      </w:r>
      <w:r w:rsidR="007756A1" w:rsidRPr="008D6BFC">
        <w:t xml:space="preserve"> </w:t>
      </w:r>
      <w:r w:rsidRPr="008D6BFC">
        <w:t xml:space="preserve">the employee is in a travel status </w:t>
      </w:r>
      <w:r w:rsidR="001644AD" w:rsidRPr="008D6BFC">
        <w:t>but not at the ETDY location</w:t>
      </w:r>
      <w:r w:rsidR="000E4DC0" w:rsidRPr="008D6BFC">
        <w:t xml:space="preserve"> or PDS</w:t>
      </w:r>
      <w:r w:rsidR="001644AD" w:rsidRPr="008D6BFC">
        <w:t>, 100</w:t>
      </w:r>
      <w:r w:rsidR="00A26D4E">
        <w:t xml:space="preserve"> percent</w:t>
      </w:r>
      <w:r w:rsidR="001644AD" w:rsidRPr="008D6BFC">
        <w:t xml:space="preserve"> per diem may be authorized for</w:t>
      </w:r>
      <w:r w:rsidRPr="008D6BFC">
        <w:t xml:space="preserve"> lodging </w:t>
      </w:r>
      <w:r w:rsidR="001644AD" w:rsidRPr="008D6BFC">
        <w:t>other than the ETDY leased premises</w:t>
      </w:r>
      <w:r w:rsidR="000E4DC0" w:rsidRPr="008D6BFC">
        <w:t xml:space="preserve">; M&amp;IE per diem </w:t>
      </w:r>
      <w:r w:rsidRPr="008D6BFC">
        <w:t xml:space="preserve">is </w:t>
      </w:r>
      <w:r w:rsidR="000E4DC0" w:rsidRPr="008D6BFC">
        <w:t>authorized consistent with</w:t>
      </w:r>
      <w:r w:rsidRPr="008D6BFC">
        <w:t xml:space="preserve"> the </w:t>
      </w:r>
      <w:r w:rsidR="000E4DC0" w:rsidRPr="008D6BFC">
        <w:t>FTR and TDY travel (e.g.,</w:t>
      </w:r>
      <w:r w:rsidR="00852F07" w:rsidRPr="008D6BFC">
        <w:t xml:space="preserve"> reduced </w:t>
      </w:r>
      <w:r w:rsidR="000E4DC0" w:rsidRPr="008D6BFC">
        <w:t>for</w:t>
      </w:r>
      <w:r w:rsidR="00852F07" w:rsidRPr="008D6BFC">
        <w:t xml:space="preserve"> the </w:t>
      </w:r>
      <w:r w:rsidR="000E4DC0" w:rsidRPr="008D6BFC">
        <w:t>first and last</w:t>
      </w:r>
      <w:r w:rsidR="00374FFD" w:rsidRPr="008D6BFC">
        <w:t xml:space="preserve"> </w:t>
      </w:r>
      <w:r w:rsidR="00852F07" w:rsidRPr="008D6BFC">
        <w:t>day of travel</w:t>
      </w:r>
      <w:r w:rsidR="000E4DC0" w:rsidRPr="008D6BFC">
        <w:t xml:space="preserve"> status)</w:t>
      </w:r>
      <w:r w:rsidR="001644AD" w:rsidRPr="008D6BFC">
        <w:t>.</w:t>
      </w:r>
      <w:r w:rsidR="00852F07" w:rsidRPr="008D6BFC">
        <w:t xml:space="preserve"> </w:t>
      </w:r>
    </w:p>
    <w:p w14:paraId="78B4D605" w14:textId="387030FC" w:rsidR="0043099A" w:rsidRPr="00816981" w:rsidRDefault="00852F07">
      <w:pPr>
        <w:pStyle w:val="NPRLista"/>
        <w:rPr>
          <w:szCs w:val="24"/>
        </w:rPr>
      </w:pPr>
      <w:r w:rsidRPr="00816981">
        <w:rPr>
          <w:szCs w:val="24"/>
        </w:rPr>
        <w:lastRenderedPageBreak/>
        <w:t xml:space="preserve">Lodging Not Required. </w:t>
      </w:r>
      <w:r w:rsidR="00B1583E">
        <w:rPr>
          <w:szCs w:val="24"/>
        </w:rPr>
        <w:t xml:space="preserve"> </w:t>
      </w:r>
      <w:r w:rsidRPr="00816981">
        <w:rPr>
          <w:szCs w:val="24"/>
        </w:rPr>
        <w:t xml:space="preserve">For each full calendar day that the </w:t>
      </w:r>
      <w:r w:rsidR="000C0B74" w:rsidRPr="00816981">
        <w:rPr>
          <w:szCs w:val="24"/>
        </w:rPr>
        <w:t>employee</w:t>
      </w:r>
      <w:r w:rsidRPr="00816981">
        <w:rPr>
          <w:szCs w:val="24"/>
        </w:rPr>
        <w:t xml:space="preserve"> is in a travel status and lodging is not required, </w:t>
      </w:r>
      <w:r w:rsidR="004C1CA2" w:rsidRPr="00816981">
        <w:rPr>
          <w:szCs w:val="24"/>
        </w:rPr>
        <w:t>the authorization should limit per diem to amounts that can be determined in advance as reasonably needed (</w:t>
      </w:r>
      <w:r w:rsidR="000E4DC0" w:rsidRPr="00816981">
        <w:rPr>
          <w:szCs w:val="24"/>
        </w:rPr>
        <w:t xml:space="preserve">including </w:t>
      </w:r>
      <w:r w:rsidR="004C1CA2" w:rsidRPr="00816981">
        <w:rPr>
          <w:szCs w:val="24"/>
        </w:rPr>
        <w:t>no reimbursement).</w:t>
      </w:r>
    </w:p>
    <w:p w14:paraId="4C837105" w14:textId="6F319F37" w:rsidR="00852F07" w:rsidRPr="00816981" w:rsidRDefault="00852F07">
      <w:pPr>
        <w:pStyle w:val="NPRLista"/>
        <w:rPr>
          <w:szCs w:val="24"/>
        </w:rPr>
      </w:pPr>
      <w:r w:rsidRPr="00816981">
        <w:rPr>
          <w:szCs w:val="24"/>
        </w:rPr>
        <w:t xml:space="preserve">Day of Arrival at the </w:t>
      </w:r>
      <w:r w:rsidR="0040699B" w:rsidRPr="00816981">
        <w:rPr>
          <w:szCs w:val="24"/>
        </w:rPr>
        <w:t>ETDY</w:t>
      </w:r>
      <w:r w:rsidRPr="00816981">
        <w:rPr>
          <w:szCs w:val="24"/>
        </w:rPr>
        <w:t xml:space="preserve"> Station.</w:t>
      </w:r>
      <w:r w:rsidR="00B1583E">
        <w:rPr>
          <w:szCs w:val="24"/>
        </w:rPr>
        <w:t xml:space="preserve"> </w:t>
      </w:r>
      <w:r w:rsidRPr="00816981">
        <w:rPr>
          <w:szCs w:val="24"/>
        </w:rPr>
        <w:t xml:space="preserve"> For the day of arrival at the </w:t>
      </w:r>
      <w:r w:rsidR="0040699B" w:rsidRPr="00816981">
        <w:rPr>
          <w:szCs w:val="24"/>
        </w:rPr>
        <w:t>ETDY</w:t>
      </w:r>
      <w:r w:rsidRPr="00816981">
        <w:rPr>
          <w:szCs w:val="24"/>
        </w:rPr>
        <w:t xml:space="preserve"> station, the per diem allowance </w:t>
      </w:r>
      <w:r w:rsidR="004C1CA2" w:rsidRPr="00816981">
        <w:rPr>
          <w:szCs w:val="24"/>
        </w:rPr>
        <w:t>sh</w:t>
      </w:r>
      <w:r w:rsidR="007B4E89">
        <w:rPr>
          <w:szCs w:val="24"/>
        </w:rPr>
        <w:t>ould</w:t>
      </w:r>
      <w:r w:rsidRPr="00816981">
        <w:rPr>
          <w:szCs w:val="24"/>
        </w:rPr>
        <w:t xml:space="preserve"> be </w:t>
      </w:r>
      <w:r w:rsidR="004C1CA2" w:rsidRPr="00816981">
        <w:rPr>
          <w:szCs w:val="24"/>
        </w:rPr>
        <w:t xml:space="preserve">the authorized </w:t>
      </w:r>
      <w:r w:rsidRPr="00816981">
        <w:rPr>
          <w:szCs w:val="24"/>
        </w:rPr>
        <w:t xml:space="preserve">reduced per diem rate. </w:t>
      </w:r>
    </w:p>
    <w:p w14:paraId="69939DF6" w14:textId="66229D9A" w:rsidR="00037D8D" w:rsidRPr="00816981" w:rsidRDefault="00037D8D" w:rsidP="00FE4EBA">
      <w:pPr>
        <w:pStyle w:val="NPR3"/>
        <w:numPr>
          <w:ilvl w:val="2"/>
          <w:numId w:val="1"/>
        </w:numPr>
        <w:ind w:left="0"/>
      </w:pPr>
      <w:r w:rsidRPr="00816981">
        <w:t>Per</w:t>
      </w:r>
      <w:r w:rsidR="00083D69" w:rsidRPr="00816981">
        <w:t xml:space="preserve"> </w:t>
      </w:r>
      <w:r w:rsidRPr="00816981">
        <w:t xml:space="preserve">diem allowances for employees authorized to travel between the </w:t>
      </w:r>
      <w:r w:rsidR="0040699B" w:rsidRPr="00816981">
        <w:t>ETDY</w:t>
      </w:r>
      <w:r w:rsidRPr="00816981">
        <w:t xml:space="preserve"> location and TDY Destinations </w:t>
      </w:r>
      <w:r w:rsidR="007F4C5D" w:rsidRPr="00816981">
        <w:t>(</w:t>
      </w:r>
      <w:r w:rsidR="00206964" w:rsidRPr="00816981">
        <w:t xml:space="preserve">e.g., </w:t>
      </w:r>
      <w:r w:rsidR="007F4C5D" w:rsidRPr="00816981">
        <w:t>embedded travel)</w:t>
      </w:r>
      <w:r w:rsidRPr="00816981">
        <w:t xml:space="preserve"> are computed as </w:t>
      </w:r>
      <w:r w:rsidR="00C0372A" w:rsidRPr="00816981">
        <w:t>follows</w:t>
      </w:r>
      <w:r w:rsidR="007346AE" w:rsidRPr="00816981">
        <w:t>:</w:t>
      </w:r>
    </w:p>
    <w:p w14:paraId="5F1FDBB4" w14:textId="77777777" w:rsidR="003F357D" w:rsidRPr="00816981" w:rsidRDefault="007F4C5D">
      <w:pPr>
        <w:pStyle w:val="NPRLista"/>
        <w:numPr>
          <w:ilvl w:val="0"/>
          <w:numId w:val="23"/>
        </w:numPr>
        <w:ind w:left="0" w:firstLine="0"/>
      </w:pPr>
      <w:r w:rsidRPr="00816981">
        <w:t xml:space="preserve">Commencing </w:t>
      </w:r>
      <w:r w:rsidR="0000175C" w:rsidRPr="00816981">
        <w:t>TDY Travel</w:t>
      </w:r>
      <w:r w:rsidRPr="00816981">
        <w:t>.</w:t>
      </w:r>
    </w:p>
    <w:p w14:paraId="643C7376" w14:textId="77777777" w:rsidR="0000175C" w:rsidRPr="00816981" w:rsidRDefault="00F919E0" w:rsidP="00BF072C">
      <w:pPr>
        <w:spacing w:after="120" w:line="240" w:lineRule="auto"/>
        <w:rPr>
          <w:szCs w:val="24"/>
        </w:rPr>
      </w:pPr>
      <w:r w:rsidRPr="00816981">
        <w:rPr>
          <w:szCs w:val="24"/>
        </w:rPr>
        <w:t xml:space="preserve">(1) </w:t>
      </w:r>
      <w:r w:rsidR="0000175C" w:rsidRPr="00816981">
        <w:rPr>
          <w:szCs w:val="24"/>
        </w:rPr>
        <w:t xml:space="preserve">When </w:t>
      </w:r>
      <w:r w:rsidR="003F16FF">
        <w:rPr>
          <w:szCs w:val="24"/>
        </w:rPr>
        <w:t>l</w:t>
      </w:r>
      <w:r w:rsidR="0000175C" w:rsidRPr="00816981">
        <w:rPr>
          <w:szCs w:val="24"/>
        </w:rPr>
        <w:t xml:space="preserve">odging is required at the </w:t>
      </w:r>
      <w:r w:rsidR="00E075A5" w:rsidRPr="00816981">
        <w:rPr>
          <w:szCs w:val="24"/>
        </w:rPr>
        <w:t>TDY</w:t>
      </w:r>
      <w:r w:rsidR="00F03AF4" w:rsidRPr="00816981">
        <w:rPr>
          <w:szCs w:val="24"/>
        </w:rPr>
        <w:t xml:space="preserve"> location</w:t>
      </w:r>
      <w:r w:rsidR="00E075A5" w:rsidRPr="00816981">
        <w:rPr>
          <w:szCs w:val="24"/>
        </w:rPr>
        <w:t xml:space="preserve"> on</w:t>
      </w:r>
      <w:r w:rsidR="0000175C" w:rsidRPr="00816981">
        <w:rPr>
          <w:szCs w:val="24"/>
        </w:rPr>
        <w:t xml:space="preserve"> the day travel begins (day of departure from </w:t>
      </w:r>
      <w:r w:rsidR="0040699B" w:rsidRPr="00816981">
        <w:rPr>
          <w:szCs w:val="24"/>
        </w:rPr>
        <w:t>ETDY</w:t>
      </w:r>
      <w:r w:rsidR="0000175C" w:rsidRPr="00816981">
        <w:rPr>
          <w:szCs w:val="24"/>
        </w:rPr>
        <w:t xml:space="preserve"> </w:t>
      </w:r>
      <w:r w:rsidR="00C0372A" w:rsidRPr="00816981">
        <w:rPr>
          <w:szCs w:val="24"/>
        </w:rPr>
        <w:t>location</w:t>
      </w:r>
      <w:r w:rsidR="0000175C" w:rsidRPr="00816981">
        <w:rPr>
          <w:szCs w:val="24"/>
        </w:rPr>
        <w:t xml:space="preserve">), the per diem </w:t>
      </w:r>
      <w:r w:rsidR="00964503" w:rsidRPr="00816981">
        <w:rPr>
          <w:szCs w:val="24"/>
        </w:rPr>
        <w:t>allowable</w:t>
      </w:r>
      <w:r w:rsidR="0000175C" w:rsidRPr="00816981">
        <w:rPr>
          <w:szCs w:val="24"/>
        </w:rPr>
        <w:t xml:space="preserve"> will be the actual cost of lodging incurred by the employee, limited to the applicable maximum lodging allowance prescribed for the location of the assignment plus three-fourths of the destination M&amp;IE rate.</w:t>
      </w:r>
      <w:r w:rsidR="00B1583E">
        <w:rPr>
          <w:szCs w:val="24"/>
        </w:rPr>
        <w:t xml:space="preserve"> </w:t>
      </w:r>
      <w:r w:rsidR="0000175C" w:rsidRPr="00816981">
        <w:rPr>
          <w:szCs w:val="24"/>
        </w:rPr>
        <w:t xml:space="preserve"> In addition, the employee will be reimbursed for </w:t>
      </w:r>
      <w:r w:rsidR="007F4C5D" w:rsidRPr="00816981">
        <w:rPr>
          <w:szCs w:val="24"/>
        </w:rPr>
        <w:t>the authorized (</w:t>
      </w:r>
      <w:r w:rsidR="0000175C" w:rsidRPr="00816981">
        <w:rPr>
          <w:szCs w:val="24"/>
        </w:rPr>
        <w:t xml:space="preserve">up to </w:t>
      </w:r>
      <w:r w:rsidR="00E53FF3">
        <w:rPr>
          <w:szCs w:val="24"/>
        </w:rPr>
        <w:t>65 percent</w:t>
      </w:r>
      <w:r w:rsidR="007F4C5D" w:rsidRPr="00816981">
        <w:rPr>
          <w:szCs w:val="24"/>
        </w:rPr>
        <w:t>)</w:t>
      </w:r>
      <w:r w:rsidR="00C0372A" w:rsidRPr="00816981">
        <w:rPr>
          <w:szCs w:val="24"/>
        </w:rPr>
        <w:t xml:space="preserve"> </w:t>
      </w:r>
      <w:r w:rsidR="0000175C" w:rsidRPr="00816981">
        <w:rPr>
          <w:szCs w:val="24"/>
        </w:rPr>
        <w:t xml:space="preserve">reduced lodging rate at the </w:t>
      </w:r>
      <w:r w:rsidR="0040699B" w:rsidRPr="00816981">
        <w:rPr>
          <w:szCs w:val="24"/>
        </w:rPr>
        <w:t>ETDY</w:t>
      </w:r>
      <w:r w:rsidR="0000175C" w:rsidRPr="00816981">
        <w:rPr>
          <w:szCs w:val="24"/>
        </w:rPr>
        <w:t xml:space="preserve"> location.</w:t>
      </w:r>
    </w:p>
    <w:p w14:paraId="7E26655B" w14:textId="77777777" w:rsidR="0000175C" w:rsidRPr="00816981" w:rsidRDefault="00F919E0" w:rsidP="00BF072C">
      <w:pPr>
        <w:spacing w:after="120" w:line="240" w:lineRule="auto"/>
        <w:rPr>
          <w:szCs w:val="24"/>
        </w:rPr>
      </w:pPr>
      <w:r w:rsidRPr="00816981">
        <w:rPr>
          <w:szCs w:val="24"/>
        </w:rPr>
        <w:t xml:space="preserve">(2) </w:t>
      </w:r>
      <w:r w:rsidR="0000175C" w:rsidRPr="00816981">
        <w:rPr>
          <w:szCs w:val="24"/>
        </w:rPr>
        <w:t xml:space="preserve">When lodging is not required on the date travel begins, such as </w:t>
      </w:r>
      <w:r w:rsidR="007F4C5D" w:rsidRPr="00816981">
        <w:rPr>
          <w:szCs w:val="24"/>
        </w:rPr>
        <w:t xml:space="preserve">when </w:t>
      </w:r>
      <w:r w:rsidR="0000175C" w:rsidRPr="00816981">
        <w:rPr>
          <w:szCs w:val="24"/>
        </w:rPr>
        <w:t xml:space="preserve">staying with relatives or in Government-provided </w:t>
      </w:r>
      <w:r w:rsidR="007F4C5D" w:rsidRPr="00816981">
        <w:rPr>
          <w:szCs w:val="24"/>
        </w:rPr>
        <w:t>no-cost</w:t>
      </w:r>
      <w:r w:rsidR="0000175C" w:rsidRPr="00816981">
        <w:rPr>
          <w:szCs w:val="24"/>
        </w:rPr>
        <w:t xml:space="preserve"> quarters, the per diem allowable will be three-fourths of the destination M&amp;IE rate.  In addition, the employee will be reimbursed for </w:t>
      </w:r>
      <w:r w:rsidR="007F4C5D" w:rsidRPr="00816981">
        <w:rPr>
          <w:szCs w:val="24"/>
        </w:rPr>
        <w:t>the</w:t>
      </w:r>
      <w:r w:rsidR="00C0372A" w:rsidRPr="00816981">
        <w:rPr>
          <w:szCs w:val="24"/>
        </w:rPr>
        <w:t xml:space="preserve"> </w:t>
      </w:r>
      <w:r w:rsidR="0000175C" w:rsidRPr="00816981">
        <w:rPr>
          <w:szCs w:val="24"/>
        </w:rPr>
        <w:t xml:space="preserve">reduced lodging rate at the </w:t>
      </w:r>
      <w:r w:rsidR="0040699B" w:rsidRPr="00816981">
        <w:rPr>
          <w:szCs w:val="24"/>
        </w:rPr>
        <w:t>ETDY</w:t>
      </w:r>
      <w:r w:rsidR="0000175C" w:rsidRPr="00816981">
        <w:rPr>
          <w:szCs w:val="24"/>
        </w:rPr>
        <w:t xml:space="preserve"> location</w:t>
      </w:r>
      <w:r w:rsidR="003F16FF">
        <w:rPr>
          <w:szCs w:val="24"/>
        </w:rPr>
        <w:t>.</w:t>
      </w:r>
    </w:p>
    <w:p w14:paraId="220B5F0D" w14:textId="77777777" w:rsidR="0000175C" w:rsidRPr="00816981" w:rsidRDefault="00F919E0" w:rsidP="00BF072C">
      <w:pPr>
        <w:spacing w:after="120" w:line="240" w:lineRule="auto"/>
        <w:rPr>
          <w:szCs w:val="24"/>
        </w:rPr>
      </w:pPr>
      <w:r w:rsidRPr="00816981">
        <w:rPr>
          <w:szCs w:val="24"/>
        </w:rPr>
        <w:t xml:space="preserve">(3) </w:t>
      </w:r>
      <w:r w:rsidR="0000175C" w:rsidRPr="00816981">
        <w:rPr>
          <w:szCs w:val="24"/>
        </w:rPr>
        <w:t xml:space="preserve">Lodging not required due to </w:t>
      </w:r>
      <w:r w:rsidR="007F4C5D" w:rsidRPr="00816981">
        <w:rPr>
          <w:szCs w:val="24"/>
        </w:rPr>
        <w:t xml:space="preserve">embedded </w:t>
      </w:r>
      <w:r w:rsidR="0000175C" w:rsidRPr="00816981">
        <w:rPr>
          <w:szCs w:val="24"/>
        </w:rPr>
        <w:t xml:space="preserve">travel of 12 hours or less. </w:t>
      </w:r>
      <w:r w:rsidR="00B1583E">
        <w:rPr>
          <w:szCs w:val="24"/>
        </w:rPr>
        <w:t xml:space="preserve"> </w:t>
      </w:r>
      <w:r w:rsidR="0000175C" w:rsidRPr="00816981">
        <w:rPr>
          <w:szCs w:val="24"/>
        </w:rPr>
        <w:t xml:space="preserve">If the employee is NOT in a </w:t>
      </w:r>
      <w:r w:rsidR="007F4C5D" w:rsidRPr="00816981">
        <w:rPr>
          <w:szCs w:val="24"/>
        </w:rPr>
        <w:t>TDY</w:t>
      </w:r>
      <w:r w:rsidR="0000175C" w:rsidRPr="00816981">
        <w:rPr>
          <w:szCs w:val="24"/>
        </w:rPr>
        <w:t xml:space="preserve"> travel status for more than 12 hours, the employee is reimbursed the daily reduced per diem rate as usual.</w:t>
      </w:r>
    </w:p>
    <w:p w14:paraId="294A4D77" w14:textId="77777777" w:rsidR="0000175C" w:rsidRPr="00816981" w:rsidRDefault="0000175C">
      <w:pPr>
        <w:pStyle w:val="NPRLista"/>
      </w:pPr>
      <w:r w:rsidRPr="00816981">
        <w:t>Travel at a TDY Location</w:t>
      </w:r>
      <w:r w:rsidR="007346AE" w:rsidRPr="00816981">
        <w:t xml:space="preserve"> (Other than the </w:t>
      </w:r>
      <w:r w:rsidR="0040699B" w:rsidRPr="00816981">
        <w:t>ETDY</w:t>
      </w:r>
      <w:r w:rsidR="007346AE" w:rsidRPr="00816981">
        <w:t xml:space="preserve"> Location)</w:t>
      </w:r>
      <w:r w:rsidRPr="00816981">
        <w:t xml:space="preserve">. </w:t>
      </w:r>
    </w:p>
    <w:p w14:paraId="228A9C9C" w14:textId="77777777" w:rsidR="0000175C" w:rsidRPr="00816981" w:rsidRDefault="00A564A1" w:rsidP="00BF072C">
      <w:pPr>
        <w:spacing w:after="120" w:line="240" w:lineRule="auto"/>
        <w:rPr>
          <w:szCs w:val="24"/>
        </w:rPr>
      </w:pPr>
      <w:r w:rsidRPr="00816981">
        <w:rPr>
          <w:szCs w:val="24"/>
        </w:rPr>
        <w:t xml:space="preserve">(1) </w:t>
      </w:r>
      <w:r w:rsidR="00E453B3" w:rsidRPr="00816981">
        <w:rPr>
          <w:szCs w:val="24"/>
        </w:rPr>
        <w:t>When the</w:t>
      </w:r>
      <w:r w:rsidR="0000175C" w:rsidRPr="00816981">
        <w:rPr>
          <w:szCs w:val="24"/>
        </w:rPr>
        <w:t xml:space="preserve"> employee is in travel status and lodging is required, the per diem allowable will be the actual cost of lodging incurred by the </w:t>
      </w:r>
      <w:r w:rsidR="000C0B74" w:rsidRPr="00816981">
        <w:rPr>
          <w:szCs w:val="24"/>
        </w:rPr>
        <w:t>employee</w:t>
      </w:r>
      <w:r w:rsidR="0000175C" w:rsidRPr="00816981">
        <w:rPr>
          <w:szCs w:val="24"/>
        </w:rPr>
        <w:t>, limited to the applicable maximum lodging allowance prescribed for the location of the assignment plus the location</w:t>
      </w:r>
      <w:r w:rsidR="003F16FF">
        <w:rPr>
          <w:szCs w:val="24"/>
        </w:rPr>
        <w:t>’</w:t>
      </w:r>
      <w:r w:rsidR="0000175C" w:rsidRPr="00816981">
        <w:rPr>
          <w:szCs w:val="24"/>
        </w:rPr>
        <w:t xml:space="preserve">s applicable M&amp;IE rate. </w:t>
      </w:r>
      <w:r w:rsidR="003F16FF">
        <w:rPr>
          <w:szCs w:val="24"/>
        </w:rPr>
        <w:t xml:space="preserve"> </w:t>
      </w:r>
      <w:r w:rsidR="0000175C" w:rsidRPr="00816981">
        <w:rPr>
          <w:szCs w:val="24"/>
        </w:rPr>
        <w:t xml:space="preserve">In addition, the employee will be reimbursed for </w:t>
      </w:r>
      <w:r w:rsidR="009916E1" w:rsidRPr="00816981">
        <w:rPr>
          <w:szCs w:val="24"/>
        </w:rPr>
        <w:t>the authorized</w:t>
      </w:r>
      <w:r w:rsidR="0000175C" w:rsidRPr="00816981">
        <w:rPr>
          <w:szCs w:val="24"/>
        </w:rPr>
        <w:t xml:space="preserve"> lodging rate at the </w:t>
      </w:r>
      <w:r w:rsidR="0040699B" w:rsidRPr="00816981">
        <w:rPr>
          <w:szCs w:val="24"/>
        </w:rPr>
        <w:t>ETDY</w:t>
      </w:r>
      <w:r w:rsidR="0000175C" w:rsidRPr="00816981">
        <w:rPr>
          <w:szCs w:val="24"/>
        </w:rPr>
        <w:t xml:space="preserve"> location. </w:t>
      </w:r>
    </w:p>
    <w:p w14:paraId="3AA6C000" w14:textId="77777777" w:rsidR="0000175C" w:rsidRPr="00816981" w:rsidRDefault="00A564A1" w:rsidP="00BF072C">
      <w:pPr>
        <w:spacing w:after="120" w:line="240" w:lineRule="auto"/>
        <w:rPr>
          <w:szCs w:val="24"/>
        </w:rPr>
      </w:pPr>
      <w:r w:rsidRPr="00816981">
        <w:rPr>
          <w:szCs w:val="24"/>
        </w:rPr>
        <w:t xml:space="preserve">(2) </w:t>
      </w:r>
      <w:r w:rsidR="00E453B3" w:rsidRPr="00816981">
        <w:rPr>
          <w:szCs w:val="24"/>
        </w:rPr>
        <w:t>When</w:t>
      </w:r>
      <w:r w:rsidR="0000175C" w:rsidRPr="00816981">
        <w:rPr>
          <w:szCs w:val="24"/>
        </w:rPr>
        <w:t xml:space="preserve"> the </w:t>
      </w:r>
      <w:r w:rsidR="000C0B74" w:rsidRPr="00816981">
        <w:rPr>
          <w:szCs w:val="24"/>
        </w:rPr>
        <w:t>employee</w:t>
      </w:r>
      <w:r w:rsidR="0000175C" w:rsidRPr="00816981">
        <w:rPr>
          <w:szCs w:val="24"/>
        </w:rPr>
        <w:t xml:space="preserve"> is in a travel status and lodging costs are not incurred, the per diem allowance will be the destination M&amp;IE rate.</w:t>
      </w:r>
      <w:r w:rsidR="00B1583E">
        <w:rPr>
          <w:szCs w:val="24"/>
        </w:rPr>
        <w:t xml:space="preserve"> </w:t>
      </w:r>
      <w:r w:rsidR="0000175C" w:rsidRPr="00816981">
        <w:rPr>
          <w:szCs w:val="24"/>
        </w:rPr>
        <w:t xml:space="preserve"> In addition, the employee will be reimbursed for </w:t>
      </w:r>
      <w:r w:rsidR="009916E1" w:rsidRPr="00816981">
        <w:rPr>
          <w:szCs w:val="24"/>
        </w:rPr>
        <w:t>the authorized</w:t>
      </w:r>
      <w:r w:rsidR="0000175C" w:rsidRPr="00816981">
        <w:rPr>
          <w:szCs w:val="24"/>
        </w:rPr>
        <w:t xml:space="preserve"> lodging rate at the </w:t>
      </w:r>
      <w:r w:rsidR="0040699B" w:rsidRPr="00816981">
        <w:rPr>
          <w:szCs w:val="24"/>
        </w:rPr>
        <w:t>ETDY</w:t>
      </w:r>
      <w:r w:rsidR="0000175C" w:rsidRPr="00816981">
        <w:rPr>
          <w:szCs w:val="24"/>
        </w:rPr>
        <w:t xml:space="preserve"> location.</w:t>
      </w:r>
    </w:p>
    <w:p w14:paraId="2A2083BD" w14:textId="77777777" w:rsidR="0000175C" w:rsidRPr="00816981" w:rsidRDefault="007F4C5D">
      <w:pPr>
        <w:pStyle w:val="NPRLista"/>
      </w:pPr>
      <w:r w:rsidRPr="00816981">
        <w:t xml:space="preserve">Ending Embedded </w:t>
      </w:r>
      <w:r w:rsidR="0000175C" w:rsidRPr="00816981">
        <w:t xml:space="preserve">TDY Travel. </w:t>
      </w:r>
      <w:r w:rsidR="003F16FF">
        <w:t xml:space="preserve"> </w:t>
      </w:r>
      <w:r w:rsidR="0000175C" w:rsidRPr="00816981">
        <w:t xml:space="preserve">For the day the TDY travel ends (day </w:t>
      </w:r>
      <w:r w:rsidR="000C0B74" w:rsidRPr="00816981">
        <w:t>employee</w:t>
      </w:r>
      <w:r w:rsidR="0000175C" w:rsidRPr="00816981">
        <w:t xml:space="preserve"> returns to the </w:t>
      </w:r>
      <w:r w:rsidR="0040699B" w:rsidRPr="00816981">
        <w:t>ETDY</w:t>
      </w:r>
      <w:r w:rsidR="0000175C" w:rsidRPr="00816981">
        <w:t xml:space="preserve"> location)</w:t>
      </w:r>
      <w:r w:rsidR="00156BD7" w:rsidRPr="00816981">
        <w:t>,</w:t>
      </w:r>
      <w:r w:rsidR="0000175C" w:rsidRPr="00816981">
        <w:t xml:space="preserve"> the per diem allowable will be three-fourths of the M&amp;IE rate applicable to the preceding calendar day. </w:t>
      </w:r>
      <w:r w:rsidR="00B1583E">
        <w:t xml:space="preserve"> </w:t>
      </w:r>
      <w:r w:rsidR="0000175C" w:rsidRPr="00816981">
        <w:t>There should be no lodging costs incurred at the TDY location.</w:t>
      </w:r>
      <w:r w:rsidR="00B1583E">
        <w:t xml:space="preserve"> </w:t>
      </w:r>
      <w:r w:rsidR="0000175C" w:rsidRPr="00816981">
        <w:t xml:space="preserve"> In addition, the employee will be reimbursed for the </w:t>
      </w:r>
      <w:r w:rsidR="009916E1" w:rsidRPr="00816981">
        <w:t>authorized</w:t>
      </w:r>
      <w:r w:rsidR="0000175C" w:rsidRPr="00816981">
        <w:t xml:space="preserve"> lodging rate at the </w:t>
      </w:r>
      <w:r w:rsidR="0040699B" w:rsidRPr="00816981">
        <w:t>ETDY</w:t>
      </w:r>
      <w:r w:rsidR="0000175C" w:rsidRPr="00816981">
        <w:t xml:space="preserve"> location.</w:t>
      </w:r>
    </w:p>
    <w:p w14:paraId="3C6AA4EE" w14:textId="77777777" w:rsidR="00D755AE" w:rsidRPr="00816981" w:rsidRDefault="00852F07" w:rsidP="00FE4EBA">
      <w:pPr>
        <w:pStyle w:val="NPR2"/>
        <w:numPr>
          <w:ilvl w:val="1"/>
          <w:numId w:val="1"/>
        </w:numPr>
      </w:pPr>
      <w:bookmarkStart w:id="34" w:name="_Toc482711897"/>
      <w:r w:rsidRPr="00816981">
        <w:rPr>
          <w:bCs/>
        </w:rPr>
        <w:t xml:space="preserve">Transportation </w:t>
      </w:r>
      <w:r w:rsidR="0029075D" w:rsidRPr="00816981">
        <w:rPr>
          <w:bCs/>
        </w:rPr>
        <w:t>A</w:t>
      </w:r>
      <w:r w:rsidRPr="00816981">
        <w:rPr>
          <w:bCs/>
        </w:rPr>
        <w:t>llowances</w:t>
      </w:r>
      <w:bookmarkEnd w:id="34"/>
      <w:r w:rsidR="00D755AE" w:rsidRPr="00816981">
        <w:rPr>
          <w:bCs/>
        </w:rPr>
        <w:t xml:space="preserve"> </w:t>
      </w:r>
    </w:p>
    <w:p w14:paraId="62460BEF" w14:textId="77777777" w:rsidR="00D755AE" w:rsidRPr="00816981" w:rsidRDefault="00D755AE" w:rsidP="00FE4EBA">
      <w:pPr>
        <w:pStyle w:val="NPR3"/>
        <w:numPr>
          <w:ilvl w:val="2"/>
          <w:numId w:val="1"/>
        </w:numPr>
        <w:ind w:left="0"/>
      </w:pPr>
      <w:r w:rsidRPr="00816981">
        <w:t xml:space="preserve">Prior to authorization of en route transportation allowances, a determination </w:t>
      </w:r>
      <w:r w:rsidR="007B4E89">
        <w:t>should</w:t>
      </w:r>
      <w:r w:rsidR="007B4E89" w:rsidRPr="00816981">
        <w:t xml:space="preserve"> </w:t>
      </w:r>
      <w:r w:rsidRPr="00816981">
        <w:t xml:space="preserve">be made by the authorizing official to ascertain what local transportation is available at the particular </w:t>
      </w:r>
      <w:r w:rsidR="0040699B" w:rsidRPr="00816981">
        <w:t>ETDY</w:t>
      </w:r>
      <w:r w:rsidR="00406672" w:rsidRPr="00816981">
        <w:t xml:space="preserve"> </w:t>
      </w:r>
      <w:r w:rsidR="00EE2623" w:rsidRPr="00816981">
        <w:t>location</w:t>
      </w:r>
      <w:r w:rsidR="00DC4C32" w:rsidRPr="00816981">
        <w:t xml:space="preserve">. </w:t>
      </w:r>
      <w:r w:rsidRPr="00816981">
        <w:t xml:space="preserve"> </w:t>
      </w:r>
    </w:p>
    <w:p w14:paraId="3444C8FC" w14:textId="77777777" w:rsidR="00852F07" w:rsidRPr="00816981" w:rsidRDefault="00D755AE" w:rsidP="00FE4EBA">
      <w:pPr>
        <w:pStyle w:val="NPR3"/>
        <w:numPr>
          <w:ilvl w:val="2"/>
          <w:numId w:val="1"/>
        </w:numPr>
        <w:ind w:left="0"/>
      </w:pPr>
      <w:r w:rsidRPr="00816981">
        <w:t>Transportation allowances</w:t>
      </w:r>
      <w:r w:rsidR="00852F07" w:rsidRPr="00816981">
        <w:t xml:space="preserve"> for en route travel to, from, and at the </w:t>
      </w:r>
      <w:r w:rsidR="0040699B" w:rsidRPr="00816981">
        <w:t>ETDY</w:t>
      </w:r>
      <w:r w:rsidR="00852F07" w:rsidRPr="00816981">
        <w:t xml:space="preserve"> station are: </w:t>
      </w:r>
    </w:p>
    <w:p w14:paraId="4DDF3A5F" w14:textId="272CAC91" w:rsidR="00852F07" w:rsidRPr="00816981" w:rsidRDefault="00852F07">
      <w:pPr>
        <w:pStyle w:val="NPRLista"/>
        <w:numPr>
          <w:ilvl w:val="0"/>
          <w:numId w:val="24"/>
        </w:numPr>
        <w:ind w:left="0" w:firstLine="0"/>
      </w:pPr>
      <w:bookmarkStart w:id="35" w:name="_Hlk153287375"/>
      <w:r w:rsidRPr="00816981">
        <w:t xml:space="preserve">Transportation allowances authorized for </w:t>
      </w:r>
      <w:r w:rsidR="0040699B" w:rsidRPr="00816981">
        <w:t>ETDY</w:t>
      </w:r>
      <w:r w:rsidRPr="00816981">
        <w:t xml:space="preserve"> </w:t>
      </w:r>
      <w:r w:rsidR="00A564A1" w:rsidRPr="00816981">
        <w:t>will</w:t>
      </w:r>
      <w:r w:rsidRPr="00816981">
        <w:t xml:space="preserve"> be authorized in accordance with </w:t>
      </w:r>
      <w:r w:rsidR="002E4243" w:rsidRPr="002E4243">
        <w:t xml:space="preserve">Transportation Expenses </w:t>
      </w:r>
      <w:r w:rsidR="008A134A" w:rsidRPr="00816981">
        <w:t>41 CFR § 301-10.</w:t>
      </w:r>
      <w:r w:rsidRPr="00816981">
        <w:t xml:space="preserve"> </w:t>
      </w:r>
    </w:p>
    <w:bookmarkEnd w:id="35"/>
    <w:p w14:paraId="07CF2BA7" w14:textId="77777777" w:rsidR="00852F07" w:rsidRPr="00816981" w:rsidRDefault="00852F07">
      <w:pPr>
        <w:pStyle w:val="NPRLista"/>
      </w:pPr>
      <w:r w:rsidRPr="00816981">
        <w:lastRenderedPageBreak/>
        <w:t xml:space="preserve">The authorized mode of transportation for travel between the </w:t>
      </w:r>
      <w:r w:rsidR="00CF215E" w:rsidRPr="00816981">
        <w:t>PDS</w:t>
      </w:r>
      <w:r w:rsidRPr="00816981">
        <w:t xml:space="preserve"> and the </w:t>
      </w:r>
      <w:r w:rsidR="0040699B" w:rsidRPr="00816981">
        <w:t>ETDY</w:t>
      </w:r>
      <w:r w:rsidRPr="00816981">
        <w:t xml:space="preserve"> station is the common carrier. </w:t>
      </w:r>
    </w:p>
    <w:p w14:paraId="31CA50AE" w14:textId="188489CA" w:rsidR="00E453B3" w:rsidRPr="00816981" w:rsidRDefault="00E453B3" w:rsidP="00FE4EBA">
      <w:pPr>
        <w:pStyle w:val="NPR3"/>
        <w:numPr>
          <w:ilvl w:val="2"/>
          <w:numId w:val="1"/>
        </w:numPr>
        <w:ind w:left="0"/>
        <w:rPr>
          <w:sz w:val="22"/>
        </w:rPr>
      </w:pPr>
      <w:r w:rsidRPr="00816981">
        <w:t xml:space="preserve">An employee </w:t>
      </w:r>
      <w:r w:rsidR="00020962">
        <w:t xml:space="preserve">who has been authorized use of a POV on a personal preference at the ETDY location may be similarly reimbursed for POV use on additionally authorized TDY travel (i.e., for embedded trips), further to the provisions of </w:t>
      </w:r>
      <w:r w:rsidR="002E4243" w:rsidRPr="002E4243">
        <w:t>NPR 9710.1, General Travel Requirements</w:t>
      </w:r>
      <w:r w:rsidR="002E4243">
        <w:t>,</w:t>
      </w:r>
      <w:r w:rsidR="00020962">
        <w:t xml:space="preserve"> </w:t>
      </w:r>
      <w:r w:rsidR="002E4243">
        <w:t>paragraph</w:t>
      </w:r>
      <w:r w:rsidR="00020962">
        <w:t xml:space="preserve"> 5.6.3. </w:t>
      </w:r>
      <w:r w:rsidR="004C3B03">
        <w:t xml:space="preserve"> </w:t>
      </w:r>
      <w:r w:rsidRPr="00816981">
        <w:t>Employee</w:t>
      </w:r>
      <w:r w:rsidR="002111A9" w:rsidRPr="00816981">
        <w:t xml:space="preserve"> shall ensure that his/her</w:t>
      </w:r>
      <w:r w:rsidRPr="00816981">
        <w:t xml:space="preserve"> authorization</w:t>
      </w:r>
      <w:r w:rsidR="002111A9" w:rsidRPr="00816981">
        <w:t xml:space="preserve"> is </w:t>
      </w:r>
      <w:r w:rsidRPr="00816981">
        <w:t>supported by a cost comparison, indicating that the approval of such expense is documented to reflect the amount the employee can be reimbursed (up to the official ticket cost</w:t>
      </w:r>
      <w:r w:rsidR="00617F2A" w:rsidRPr="00816981">
        <w:t xml:space="preserve"> </w:t>
      </w:r>
      <w:r w:rsidR="00E36CF9" w:rsidRPr="00816981">
        <w:t xml:space="preserve">of a common carrier </w:t>
      </w:r>
      <w:r w:rsidR="00617F2A" w:rsidRPr="00816981">
        <w:t xml:space="preserve">plus the cost of up to </w:t>
      </w:r>
      <w:r w:rsidR="004C3B03">
        <w:t>two</w:t>
      </w:r>
      <w:r w:rsidR="004C3B03" w:rsidRPr="00816981">
        <w:t xml:space="preserve"> </w:t>
      </w:r>
      <w:r w:rsidR="008F42EC" w:rsidRPr="00816981">
        <w:t>checked bags</w:t>
      </w:r>
      <w:r w:rsidR="001C13EF">
        <w:t>).</w:t>
      </w:r>
    </w:p>
    <w:p w14:paraId="3985E0BA" w14:textId="77777777" w:rsidR="001E3BF9" w:rsidRPr="00816981" w:rsidRDefault="006540F3" w:rsidP="00FE4EBA">
      <w:pPr>
        <w:pStyle w:val="NPR3"/>
        <w:numPr>
          <w:ilvl w:val="2"/>
          <w:numId w:val="1"/>
        </w:numPr>
        <w:ind w:left="0"/>
      </w:pPr>
      <w:r w:rsidRPr="00816981">
        <w:t>An employee who has been authorized use of a POV on a pe</w:t>
      </w:r>
      <w:r w:rsidR="00E633EA" w:rsidRPr="00816981">
        <w:t xml:space="preserve">rsonal preference </w:t>
      </w:r>
      <w:r w:rsidRPr="00816981">
        <w:t>can</w:t>
      </w:r>
      <w:r w:rsidR="00E633EA" w:rsidRPr="00816981">
        <w:t>not</w:t>
      </w:r>
      <w:r w:rsidR="00494A45" w:rsidRPr="00816981">
        <w:t xml:space="preserve"> </w:t>
      </w:r>
      <w:r w:rsidRPr="00816981">
        <w:t>be authorized use of a r</w:t>
      </w:r>
      <w:r w:rsidR="00E633EA" w:rsidRPr="00816981">
        <w:t>ental car</w:t>
      </w:r>
      <w:r w:rsidR="00CD333D" w:rsidRPr="00816981">
        <w:t xml:space="preserve"> at the </w:t>
      </w:r>
      <w:r w:rsidR="0040699B" w:rsidRPr="00816981">
        <w:t>ETDY</w:t>
      </w:r>
      <w:r w:rsidR="001F7B2C" w:rsidRPr="00816981">
        <w:t xml:space="preserve"> location</w:t>
      </w:r>
      <w:r w:rsidR="003029C3" w:rsidRPr="00816981">
        <w:t xml:space="preserve"> </w:t>
      </w:r>
      <w:r w:rsidR="00E633EA" w:rsidRPr="00816981">
        <w:t>if the employee is seeking reimbursement of mileage for the POV.</w:t>
      </w:r>
      <w:r w:rsidR="006A5FE8" w:rsidRPr="00816981">
        <w:t xml:space="preserve"> </w:t>
      </w:r>
      <w:r w:rsidR="001C13EF">
        <w:t xml:space="preserve"> </w:t>
      </w:r>
      <w:r w:rsidRPr="00816981">
        <w:t>This applies to both the</w:t>
      </w:r>
      <w:r w:rsidR="00494A45" w:rsidRPr="00816981">
        <w:t xml:space="preserve"> </w:t>
      </w:r>
      <w:r w:rsidR="0040699B" w:rsidRPr="00816981">
        <w:t>ETDY</w:t>
      </w:r>
      <w:r w:rsidRPr="00816981">
        <w:t xml:space="preserve"> site and when the employee returns to the </w:t>
      </w:r>
      <w:r w:rsidR="00CF215E" w:rsidRPr="00816981">
        <w:t xml:space="preserve">PDS </w:t>
      </w:r>
      <w:r w:rsidRPr="00816981">
        <w:t>on</w:t>
      </w:r>
      <w:r w:rsidR="00494A45" w:rsidRPr="00816981">
        <w:t xml:space="preserve"> </w:t>
      </w:r>
      <w:r w:rsidRPr="00816981">
        <w:t xml:space="preserve">official business. </w:t>
      </w:r>
      <w:r w:rsidR="001C13EF">
        <w:t xml:space="preserve"> </w:t>
      </w:r>
      <w:r w:rsidRPr="00816981">
        <w:t xml:space="preserve">An employee should never be authorized a rental car at the </w:t>
      </w:r>
      <w:r w:rsidR="0040699B" w:rsidRPr="00816981">
        <w:t>ETDY</w:t>
      </w:r>
      <w:r w:rsidRPr="00816981">
        <w:t xml:space="preserve"> site</w:t>
      </w:r>
      <w:r w:rsidR="00494A45" w:rsidRPr="00816981">
        <w:t xml:space="preserve"> </w:t>
      </w:r>
      <w:r w:rsidRPr="00816981">
        <w:t>because the family accompanied the employee an</w:t>
      </w:r>
      <w:r w:rsidR="00494A45" w:rsidRPr="00816981">
        <w:t xml:space="preserve">d needs use of the POV. </w:t>
      </w:r>
      <w:r w:rsidR="001C13EF">
        <w:t xml:space="preserve"> </w:t>
      </w:r>
      <w:r w:rsidR="00494A45" w:rsidRPr="00816981">
        <w:t xml:space="preserve">In these </w:t>
      </w:r>
      <w:r w:rsidRPr="00816981">
        <w:t>circumstances</w:t>
      </w:r>
      <w:r w:rsidR="00494A45" w:rsidRPr="00816981">
        <w:t>,</w:t>
      </w:r>
      <w:r w:rsidRPr="00816981">
        <w:t xml:space="preserve"> the employee should obtain a rental car </w:t>
      </w:r>
      <w:r w:rsidR="00494A45" w:rsidRPr="00816981">
        <w:t xml:space="preserve">at his or her expense for family </w:t>
      </w:r>
      <w:r w:rsidRPr="00816981">
        <w:t>use.</w:t>
      </w:r>
      <w:r w:rsidR="001C13EF">
        <w:t xml:space="preserve"> </w:t>
      </w:r>
      <w:r w:rsidRPr="00816981">
        <w:t xml:space="preserve"> An example of when it would be advantageous to the Government to authorize an</w:t>
      </w:r>
      <w:r w:rsidR="00494A45" w:rsidRPr="00816981">
        <w:t xml:space="preserve"> </w:t>
      </w:r>
      <w:r w:rsidRPr="00816981">
        <w:t xml:space="preserve">employee a rental car at the </w:t>
      </w:r>
      <w:r w:rsidR="00CF215E" w:rsidRPr="00816981">
        <w:t>PDS</w:t>
      </w:r>
      <w:r w:rsidRPr="00816981">
        <w:t xml:space="preserve"> would be when the employee</w:t>
      </w:r>
      <w:r w:rsidR="00494A45" w:rsidRPr="00816981">
        <w:t xml:space="preserve"> </w:t>
      </w:r>
      <w:r w:rsidRPr="00816981">
        <w:t>returne</w:t>
      </w:r>
      <w:r w:rsidR="00494A45" w:rsidRPr="00816981">
        <w:t xml:space="preserve">d to the </w:t>
      </w:r>
      <w:r w:rsidR="00CF215E" w:rsidRPr="00816981">
        <w:t>PDS</w:t>
      </w:r>
      <w:r w:rsidR="00494A45" w:rsidRPr="00816981">
        <w:t xml:space="preserve"> </w:t>
      </w:r>
      <w:r w:rsidRPr="00816981">
        <w:t>on official business by common carrier</w:t>
      </w:r>
      <w:r w:rsidR="00494A45" w:rsidRPr="00816981">
        <w:t xml:space="preserve"> </w:t>
      </w:r>
      <w:r w:rsidRPr="00816981">
        <w:t xml:space="preserve">leaving the POV at the </w:t>
      </w:r>
      <w:r w:rsidR="0040699B" w:rsidRPr="00816981">
        <w:t>ETDY</w:t>
      </w:r>
      <w:r w:rsidRPr="00816981">
        <w:t xml:space="preserve"> site and would have no other means of traveling</w:t>
      </w:r>
      <w:r w:rsidR="00494A45" w:rsidRPr="00816981">
        <w:t xml:space="preserve"> </w:t>
      </w:r>
      <w:r w:rsidRPr="00816981">
        <w:t xml:space="preserve">locally at the </w:t>
      </w:r>
      <w:r w:rsidR="00CF215E" w:rsidRPr="00816981">
        <w:t>PDS</w:t>
      </w:r>
      <w:r w:rsidRPr="00816981">
        <w:t xml:space="preserve"> than by taxi </w:t>
      </w:r>
      <w:r w:rsidR="00D16EA3" w:rsidRPr="00816981">
        <w:t>(</w:t>
      </w:r>
      <w:r w:rsidRPr="00816981">
        <w:t xml:space="preserve">which is shown to </w:t>
      </w:r>
      <w:r w:rsidR="00494A45" w:rsidRPr="00816981">
        <w:t xml:space="preserve">be more expensive than the daily </w:t>
      </w:r>
      <w:r w:rsidRPr="00816981">
        <w:t>cost of a rental car</w:t>
      </w:r>
      <w:r w:rsidR="00D16EA3" w:rsidRPr="00816981">
        <w:t>)</w:t>
      </w:r>
      <w:r w:rsidRPr="00816981">
        <w:t>.</w:t>
      </w:r>
    </w:p>
    <w:p w14:paraId="600B1E47" w14:textId="0CAE46CD" w:rsidR="00DF393A" w:rsidRPr="00816981" w:rsidRDefault="00FD1780" w:rsidP="00FE4EBA">
      <w:pPr>
        <w:pStyle w:val="NPR3"/>
        <w:numPr>
          <w:ilvl w:val="2"/>
          <w:numId w:val="1"/>
        </w:numPr>
        <w:ind w:left="0"/>
      </w:pPr>
      <w:r w:rsidRPr="00816981">
        <w:t xml:space="preserve">NASA may authorize use of a rental car while </w:t>
      </w:r>
      <w:r w:rsidR="00585B1F" w:rsidRPr="00816981">
        <w:t xml:space="preserve">the </w:t>
      </w:r>
      <w:r w:rsidRPr="00816981">
        <w:t xml:space="preserve">employee is at the </w:t>
      </w:r>
      <w:r w:rsidR="0040699B" w:rsidRPr="00816981">
        <w:t>ETDY</w:t>
      </w:r>
      <w:r w:rsidR="002A4E29" w:rsidRPr="00816981">
        <w:t xml:space="preserve"> </w:t>
      </w:r>
      <w:r w:rsidRPr="00816981">
        <w:t xml:space="preserve">location. </w:t>
      </w:r>
      <w:r w:rsidR="001C13EF">
        <w:t xml:space="preserve"> </w:t>
      </w:r>
      <w:r w:rsidRPr="00816981">
        <w:t xml:space="preserve">Use </w:t>
      </w:r>
      <w:r w:rsidR="00585B1F" w:rsidRPr="00816981">
        <w:t>of</w:t>
      </w:r>
      <w:r w:rsidRPr="00816981">
        <w:t xml:space="preserve"> a rental car will not be authorized at</w:t>
      </w:r>
      <w:r w:rsidR="00094607" w:rsidRPr="00816981">
        <w:t xml:space="preserve"> Headquarters unless the employee has an approved a</w:t>
      </w:r>
      <w:r w:rsidR="002111A9" w:rsidRPr="00816981">
        <w:t xml:space="preserve">uthorization </w:t>
      </w:r>
      <w:r w:rsidR="00094607" w:rsidRPr="00816981">
        <w:t>from the OIC and/or Center Director prior to his or her travel.</w:t>
      </w:r>
      <w:r w:rsidR="00094607" w:rsidRPr="00816981" w:rsidDel="00094607">
        <w:t xml:space="preserve"> </w:t>
      </w:r>
    </w:p>
    <w:p w14:paraId="25957A6A" w14:textId="77777777" w:rsidR="00671297" w:rsidRPr="00595FA6" w:rsidRDefault="00FD1780" w:rsidP="00595FA6">
      <w:pPr>
        <w:pStyle w:val="NPR3"/>
        <w:numPr>
          <w:ilvl w:val="0"/>
          <w:numId w:val="0"/>
        </w:numPr>
        <w:ind w:left="360" w:right="360"/>
        <w:rPr>
          <w:bCs/>
        </w:rPr>
      </w:pPr>
      <w:r w:rsidRPr="00595FA6">
        <w:rPr>
          <w:bCs/>
          <w:i/>
        </w:rPr>
        <w:t>Note:</w:t>
      </w:r>
      <w:r w:rsidR="001C13EF" w:rsidRPr="00595FA6">
        <w:rPr>
          <w:bCs/>
          <w:i/>
        </w:rPr>
        <w:t xml:space="preserve"> </w:t>
      </w:r>
      <w:r w:rsidRPr="00595FA6">
        <w:rPr>
          <w:bCs/>
          <w:i/>
        </w:rPr>
        <w:t xml:space="preserve"> Employees </w:t>
      </w:r>
      <w:r w:rsidR="00D16EA3" w:rsidRPr="00595FA6">
        <w:rPr>
          <w:bCs/>
          <w:i/>
        </w:rPr>
        <w:t>are generally</w:t>
      </w:r>
      <w:r w:rsidRPr="00595FA6">
        <w:rPr>
          <w:bCs/>
          <w:i/>
        </w:rPr>
        <w:t xml:space="preserve"> responsible for rental car expenses </w:t>
      </w:r>
      <w:r w:rsidR="00D16EA3" w:rsidRPr="00595FA6">
        <w:rPr>
          <w:bCs/>
          <w:i/>
        </w:rPr>
        <w:t xml:space="preserve">incurred </w:t>
      </w:r>
      <w:r w:rsidRPr="00595FA6">
        <w:rPr>
          <w:bCs/>
          <w:i/>
        </w:rPr>
        <w:t xml:space="preserve">that are not </w:t>
      </w:r>
      <w:r w:rsidR="00D16EA3" w:rsidRPr="00595FA6">
        <w:rPr>
          <w:bCs/>
          <w:i/>
        </w:rPr>
        <w:t>pre</w:t>
      </w:r>
      <w:r w:rsidRPr="00595FA6">
        <w:rPr>
          <w:bCs/>
          <w:i/>
        </w:rPr>
        <w:t>approved.</w:t>
      </w:r>
    </w:p>
    <w:p w14:paraId="7285E835" w14:textId="77777777" w:rsidR="001E3BF9" w:rsidRPr="00816981" w:rsidRDefault="004F6C2D" w:rsidP="00FE4EBA">
      <w:pPr>
        <w:pStyle w:val="NPR2"/>
        <w:numPr>
          <w:ilvl w:val="1"/>
          <w:numId w:val="1"/>
        </w:numPr>
      </w:pPr>
      <w:bookmarkStart w:id="36" w:name="_Toc482711898"/>
      <w:r w:rsidRPr="00816981">
        <w:t>Home Trips</w:t>
      </w:r>
      <w:bookmarkEnd w:id="36"/>
      <w:r w:rsidRPr="00816981">
        <w:t xml:space="preserve"> </w:t>
      </w:r>
    </w:p>
    <w:p w14:paraId="162A1FD5" w14:textId="77777777" w:rsidR="006075DD" w:rsidRPr="00816981" w:rsidRDefault="00083D69" w:rsidP="00FE4EBA">
      <w:pPr>
        <w:pStyle w:val="NPR3"/>
        <w:numPr>
          <w:ilvl w:val="2"/>
          <w:numId w:val="1"/>
        </w:numPr>
        <w:ind w:left="0"/>
      </w:pPr>
      <w:r w:rsidRPr="00816981">
        <w:t xml:space="preserve">Employees authorized </w:t>
      </w:r>
      <w:r w:rsidR="0040699B" w:rsidRPr="00816981">
        <w:t>ETDY</w:t>
      </w:r>
      <w:r w:rsidR="002A4E29" w:rsidRPr="00816981">
        <w:t xml:space="preserve"> </w:t>
      </w:r>
      <w:r w:rsidRPr="00816981">
        <w:t>travel may return home at NASA</w:t>
      </w:r>
      <w:r w:rsidR="0066248C" w:rsidRPr="00816981">
        <w:t>’s</w:t>
      </w:r>
      <w:r w:rsidRPr="00816981">
        <w:t xml:space="preserve"> expense.</w:t>
      </w:r>
      <w:r w:rsidR="001C13EF">
        <w:t xml:space="preserve"> </w:t>
      </w:r>
      <w:r w:rsidR="00E633EA" w:rsidRPr="00816981">
        <w:t xml:space="preserve"> NASA </w:t>
      </w:r>
      <w:r w:rsidR="00D16EA3" w:rsidRPr="00816981">
        <w:t>generally permits</w:t>
      </w:r>
      <w:r w:rsidR="00E633EA" w:rsidRPr="00816981">
        <w:t xml:space="preserve"> one</w:t>
      </w:r>
      <w:r w:rsidR="006910FF" w:rsidRPr="00816981">
        <w:t xml:space="preserve"> trip home</w:t>
      </w:r>
      <w:r w:rsidR="00FD1780" w:rsidRPr="00816981">
        <w:t xml:space="preserve"> per month</w:t>
      </w:r>
      <w:r w:rsidR="00D16EA3" w:rsidRPr="00816981">
        <w:t>, but a traveler may</w:t>
      </w:r>
      <w:r w:rsidR="00E633EA" w:rsidRPr="00816981">
        <w:t xml:space="preserve"> be </w:t>
      </w:r>
      <w:r w:rsidR="00D16EA3" w:rsidRPr="00816981">
        <w:t>authorized up</w:t>
      </w:r>
      <w:r w:rsidR="006A5FE8" w:rsidRPr="00816981">
        <w:t xml:space="preserve"> to </w:t>
      </w:r>
      <w:r w:rsidR="00D16EA3" w:rsidRPr="00816981">
        <w:t>four trips per quarter</w:t>
      </w:r>
      <w:r w:rsidR="001C13EF">
        <w:t>.</w:t>
      </w:r>
    </w:p>
    <w:p w14:paraId="6913FB7A" w14:textId="77777777" w:rsidR="002F583D" w:rsidRPr="00816981" w:rsidRDefault="00446531" w:rsidP="00FE4EBA">
      <w:pPr>
        <w:pStyle w:val="NPR3"/>
        <w:numPr>
          <w:ilvl w:val="2"/>
          <w:numId w:val="1"/>
        </w:numPr>
        <w:ind w:left="0"/>
      </w:pPr>
      <w:r w:rsidRPr="00816981">
        <w:t xml:space="preserve">For these </w:t>
      </w:r>
      <w:r w:rsidR="00083D69" w:rsidRPr="00816981">
        <w:t xml:space="preserve">authorized trips </w:t>
      </w:r>
      <w:r w:rsidR="00987996" w:rsidRPr="00816981">
        <w:t>home,</w:t>
      </w:r>
      <w:r w:rsidR="00083D69" w:rsidRPr="00816981">
        <w:t xml:space="preserve"> </w:t>
      </w:r>
      <w:r w:rsidR="00987996" w:rsidRPr="00816981">
        <w:t>the employee</w:t>
      </w:r>
      <w:r w:rsidR="006910FF" w:rsidRPr="00816981">
        <w:t xml:space="preserve"> </w:t>
      </w:r>
      <w:r w:rsidR="00BF072C" w:rsidRPr="00816981">
        <w:t>shall book</w:t>
      </w:r>
      <w:r w:rsidR="006910FF" w:rsidRPr="00816981">
        <w:t xml:space="preserve"> their travel through the automated travel system and</w:t>
      </w:r>
      <w:r w:rsidR="00083D69" w:rsidRPr="00816981">
        <w:t xml:space="preserve"> use the Government contract city-pair fares and travel during work hours without taking any form of leave.</w:t>
      </w:r>
      <w:r w:rsidR="002F583D" w:rsidRPr="00816981">
        <w:t xml:space="preserve">  Employees who choose to take a mode of transportation other than common carrier can only be reimbursed up to the cost of the official ticket plus the cost of </w:t>
      </w:r>
      <w:r w:rsidR="004C3B03">
        <w:t>two</w:t>
      </w:r>
      <w:r w:rsidR="004C3B03" w:rsidRPr="00816981">
        <w:t xml:space="preserve"> </w:t>
      </w:r>
      <w:r w:rsidR="002F583D" w:rsidRPr="00816981">
        <w:t xml:space="preserve">checked bags.   </w:t>
      </w:r>
    </w:p>
    <w:p w14:paraId="3EA37400" w14:textId="1073C037" w:rsidR="00987996" w:rsidRDefault="00987996" w:rsidP="00FE4EBA">
      <w:pPr>
        <w:pStyle w:val="NPR3"/>
        <w:numPr>
          <w:ilvl w:val="2"/>
          <w:numId w:val="1"/>
        </w:numPr>
        <w:ind w:left="0"/>
      </w:pPr>
      <w:r w:rsidRPr="00816981">
        <w:t>The employee</w:t>
      </w:r>
      <w:r w:rsidR="00083D69" w:rsidRPr="00816981">
        <w:t xml:space="preserve"> may return home voluntarily m</w:t>
      </w:r>
      <w:r w:rsidR="006910FF" w:rsidRPr="00816981">
        <w:t>ore often</w:t>
      </w:r>
      <w:r w:rsidR="000A2743" w:rsidRPr="00816981">
        <w:t xml:space="preserve"> at his or her own expense</w:t>
      </w:r>
      <w:r w:rsidR="00D16EA3" w:rsidRPr="00816981">
        <w:t xml:space="preserve"> (consistent with any required supervisory approval of work or leave)</w:t>
      </w:r>
      <w:r w:rsidR="000A2743" w:rsidRPr="00816981">
        <w:t>;</w:t>
      </w:r>
      <w:r w:rsidR="006910FF" w:rsidRPr="00816981">
        <w:t xml:space="preserve"> h</w:t>
      </w:r>
      <w:r w:rsidR="00083D69" w:rsidRPr="00816981">
        <w:t xml:space="preserve">owever, </w:t>
      </w:r>
      <w:r w:rsidRPr="00816981">
        <w:t xml:space="preserve">he or she </w:t>
      </w:r>
      <w:r w:rsidR="00083D69" w:rsidRPr="00816981">
        <w:t xml:space="preserve">may NOT use the Government </w:t>
      </w:r>
      <w:r w:rsidR="00FC6AB3" w:rsidRPr="00816981">
        <w:t>Contract</w:t>
      </w:r>
      <w:r w:rsidR="00083D69" w:rsidRPr="00816981">
        <w:t xml:space="preserve"> City-pair fares for these trips and may NOT use </w:t>
      </w:r>
      <w:r w:rsidRPr="00816981">
        <w:t>his or her</w:t>
      </w:r>
      <w:r w:rsidR="00083D69" w:rsidRPr="00816981">
        <w:t xml:space="preserve"> Government charge card to pay for the expenses. </w:t>
      </w:r>
      <w:r w:rsidRPr="00816981">
        <w:t xml:space="preserve"> </w:t>
      </w:r>
      <w:r w:rsidR="00D16EA3" w:rsidRPr="00816981">
        <w:t>In these circumstances</w:t>
      </w:r>
      <w:r w:rsidR="001C13EF">
        <w:t>,</w:t>
      </w:r>
      <w:r w:rsidR="00D16EA3" w:rsidRPr="00816981">
        <w:t xml:space="preserve"> </w:t>
      </w:r>
      <w:r w:rsidR="001C13EF">
        <w:t>t</w:t>
      </w:r>
      <w:r w:rsidR="002F583D" w:rsidRPr="00816981">
        <w:t xml:space="preserve">he employee </w:t>
      </w:r>
      <w:r w:rsidR="00D16EA3" w:rsidRPr="00816981">
        <w:t>will generally</w:t>
      </w:r>
      <w:r w:rsidR="002F583D" w:rsidRPr="00816981">
        <w:t xml:space="preserve"> also </w:t>
      </w:r>
      <w:r w:rsidR="00D16EA3" w:rsidRPr="00816981">
        <w:t xml:space="preserve">be </w:t>
      </w:r>
      <w:r w:rsidR="002F583D" w:rsidRPr="00816981">
        <w:t>travel</w:t>
      </w:r>
      <w:r w:rsidR="00D16EA3" w:rsidRPr="00816981">
        <w:t>ling</w:t>
      </w:r>
      <w:r w:rsidR="002F583D" w:rsidRPr="00816981">
        <w:t xml:space="preserve"> on his or her own time or </w:t>
      </w:r>
      <w:r w:rsidR="004A30A5" w:rsidRPr="00816981">
        <w:t>authorized</w:t>
      </w:r>
      <w:r w:rsidR="002F583D" w:rsidRPr="00816981">
        <w:t xml:space="preserve"> leave</w:t>
      </w:r>
      <w:r w:rsidR="004A30A5" w:rsidRPr="00816981">
        <w:t xml:space="preserve">, and </w:t>
      </w:r>
      <w:r w:rsidRPr="00816981">
        <w:t xml:space="preserve">NASA will not reimburse </w:t>
      </w:r>
      <w:r w:rsidR="004A30A5" w:rsidRPr="00816981">
        <w:t xml:space="preserve">shipment </w:t>
      </w:r>
      <w:r w:rsidRPr="00816981">
        <w:t>cost</w:t>
      </w:r>
      <w:r w:rsidR="004A30A5" w:rsidRPr="00816981">
        <w:t>s</w:t>
      </w:r>
      <w:r w:rsidRPr="00816981">
        <w:t xml:space="preserve"> </w:t>
      </w:r>
      <w:r w:rsidR="004A30A5" w:rsidRPr="00816981">
        <w:t>or the like.</w:t>
      </w:r>
    </w:p>
    <w:p w14:paraId="1FA6076F" w14:textId="71A1BCD5" w:rsidR="007D626F" w:rsidRDefault="005006F2" w:rsidP="00FE4EBA">
      <w:pPr>
        <w:pStyle w:val="NPR3"/>
        <w:numPr>
          <w:ilvl w:val="2"/>
          <w:numId w:val="1"/>
        </w:numPr>
        <w:ind w:left="0"/>
      </w:pPr>
      <w:r>
        <w:t>A reasonable allowance for a reasonable cost of shipping unaccompanied baggage of personal effects (up to 350 pounds) is permitted, but personal effects does not include furniture and other household.</w:t>
      </w:r>
    </w:p>
    <w:p w14:paraId="752E87AF" w14:textId="77777777" w:rsidR="00987996" w:rsidRPr="00816981" w:rsidRDefault="00987996" w:rsidP="00FE4EBA">
      <w:pPr>
        <w:pStyle w:val="NPR2"/>
        <w:numPr>
          <w:ilvl w:val="1"/>
          <w:numId w:val="1"/>
        </w:numPr>
      </w:pPr>
      <w:bookmarkStart w:id="37" w:name="_Toc482711899"/>
      <w:r w:rsidRPr="00816981">
        <w:lastRenderedPageBreak/>
        <w:t>Miscellaneous Expenses</w:t>
      </w:r>
      <w:bookmarkEnd w:id="37"/>
    </w:p>
    <w:p w14:paraId="151842C2" w14:textId="47C457B0" w:rsidR="00987996" w:rsidRPr="00816981" w:rsidRDefault="00987996" w:rsidP="00584D15">
      <w:pPr>
        <w:pStyle w:val="NPR3"/>
        <w:numPr>
          <w:ilvl w:val="0"/>
          <w:numId w:val="0"/>
        </w:numPr>
      </w:pPr>
      <w:bookmarkStart w:id="38" w:name="_Hlk153860252"/>
      <w:r w:rsidRPr="00816981">
        <w:t xml:space="preserve">NASA will reimburse as a miscellaneous expense all items listed in </w:t>
      </w:r>
      <w:r w:rsidR="002E4243" w:rsidRPr="002E4243">
        <w:t>Miscellaneous Expenses</w:t>
      </w:r>
      <w:r w:rsidR="002E4243">
        <w:t xml:space="preserve">, </w:t>
      </w:r>
      <w:r w:rsidR="00A564A1" w:rsidRPr="00816981">
        <w:t>41 CFR</w:t>
      </w:r>
      <w:r w:rsidRPr="00816981">
        <w:t xml:space="preserve"> §</w:t>
      </w:r>
      <w:r w:rsidR="002E4243">
        <w:t xml:space="preserve"> </w:t>
      </w:r>
      <w:r w:rsidRPr="00816981">
        <w:t>301-1</w:t>
      </w:r>
      <w:r w:rsidR="002E4243">
        <w:t>2</w:t>
      </w:r>
      <w:r w:rsidR="00A11F66">
        <w:t>,</w:t>
      </w:r>
      <w:r w:rsidRPr="00816981">
        <w:t xml:space="preserve"> or any fees </w:t>
      </w:r>
      <w:proofErr w:type="gramStart"/>
      <w:r w:rsidRPr="00816981">
        <w:t>absolutely necessary</w:t>
      </w:r>
      <w:proofErr w:type="gramEnd"/>
      <w:r w:rsidRPr="00816981">
        <w:t xml:space="preserve"> for the completion of travel when they have been authorized and/or approved by the Agency.  </w:t>
      </w:r>
      <w:bookmarkEnd w:id="38"/>
      <w:r w:rsidR="004A30A5" w:rsidRPr="00816981">
        <w:t>Additional expenses for navigation (GPS)</w:t>
      </w:r>
      <w:r w:rsidR="003F357D" w:rsidRPr="00816981">
        <w:t xml:space="preserve"> </w:t>
      </w:r>
      <w:r w:rsidRPr="00816981">
        <w:t xml:space="preserve">devices </w:t>
      </w:r>
      <w:r w:rsidR="004A30A5" w:rsidRPr="00816981">
        <w:t xml:space="preserve">or the like </w:t>
      </w:r>
      <w:r w:rsidRPr="00816981">
        <w:t xml:space="preserve">are not </w:t>
      </w:r>
      <w:r w:rsidR="00604AAB" w:rsidRPr="00816981">
        <w:t xml:space="preserve">reimbursed </w:t>
      </w:r>
      <w:r w:rsidRPr="00816981">
        <w:t>when travel is being performed within the United States</w:t>
      </w:r>
      <w:r w:rsidR="004A30A5" w:rsidRPr="00816981">
        <w:t xml:space="preserve"> absent specific authorization accompanied by detailed justification of the business need and lack of reasonable alternative; no special justification</w:t>
      </w:r>
      <w:r w:rsidRPr="00816981">
        <w:t xml:space="preserve"> is </w:t>
      </w:r>
      <w:r w:rsidR="004A30A5" w:rsidRPr="00816981">
        <w:t>required for approval as deemed appropriate</w:t>
      </w:r>
      <w:r w:rsidRPr="00816981">
        <w:t xml:space="preserve"> in </w:t>
      </w:r>
      <w:r w:rsidR="004A30A5" w:rsidRPr="00816981">
        <w:t>connection with</w:t>
      </w:r>
      <w:r w:rsidRPr="00816981">
        <w:t xml:space="preserve"> foreign travel.</w:t>
      </w:r>
    </w:p>
    <w:p w14:paraId="5EC5BB74" w14:textId="77777777" w:rsidR="00D22C02" w:rsidRPr="00816981" w:rsidRDefault="008F05C5" w:rsidP="00595FA6">
      <w:pPr>
        <w:pStyle w:val="NPR3"/>
        <w:numPr>
          <w:ilvl w:val="0"/>
          <w:numId w:val="0"/>
        </w:numPr>
        <w:ind w:left="360" w:right="360"/>
        <w:rPr>
          <w:b/>
          <w:i/>
        </w:rPr>
      </w:pPr>
      <w:r w:rsidRPr="00816981">
        <w:rPr>
          <w:i/>
        </w:rPr>
        <w:t>Note:</w:t>
      </w:r>
      <w:r w:rsidR="001C13EF">
        <w:rPr>
          <w:i/>
        </w:rPr>
        <w:t xml:space="preserve"> </w:t>
      </w:r>
      <w:r w:rsidRPr="00B97873">
        <w:rPr>
          <w:i/>
        </w:rPr>
        <w:t xml:space="preserve"> </w:t>
      </w:r>
      <w:r w:rsidRPr="00816981">
        <w:rPr>
          <w:i/>
        </w:rPr>
        <w:t xml:space="preserve">Dry </w:t>
      </w:r>
      <w:r w:rsidR="00E321FA" w:rsidRPr="00816981">
        <w:rPr>
          <w:i/>
        </w:rPr>
        <w:t>c</w:t>
      </w:r>
      <w:r w:rsidRPr="00816981">
        <w:rPr>
          <w:i/>
        </w:rPr>
        <w:t xml:space="preserve">leaning and </w:t>
      </w:r>
      <w:r w:rsidR="00E321FA" w:rsidRPr="00816981">
        <w:rPr>
          <w:i/>
        </w:rPr>
        <w:t>l</w:t>
      </w:r>
      <w:r w:rsidRPr="00816981">
        <w:rPr>
          <w:i/>
        </w:rPr>
        <w:t>aundry are not an authorized expense</w:t>
      </w:r>
      <w:r w:rsidR="004A30A5" w:rsidRPr="00816981">
        <w:rPr>
          <w:i/>
        </w:rPr>
        <w:t xml:space="preserve"> at the ETDY location</w:t>
      </w:r>
      <w:r w:rsidRPr="00816981">
        <w:rPr>
          <w:i/>
        </w:rPr>
        <w:t xml:space="preserve">. </w:t>
      </w:r>
      <w:r w:rsidR="002111A9" w:rsidRPr="00816981">
        <w:rPr>
          <w:i/>
        </w:rPr>
        <w:t xml:space="preserve">Employee shall ensure that </w:t>
      </w:r>
      <w:r w:rsidR="00E321FA" w:rsidRPr="00816981">
        <w:rPr>
          <w:i/>
        </w:rPr>
        <w:t>p</w:t>
      </w:r>
      <w:r w:rsidR="002111A9" w:rsidRPr="00816981">
        <w:rPr>
          <w:i/>
        </w:rPr>
        <w:t>arking is</w:t>
      </w:r>
      <w:r w:rsidR="008F6EB6" w:rsidRPr="00816981">
        <w:rPr>
          <w:i/>
        </w:rPr>
        <w:t xml:space="preserve"> approved prior to </w:t>
      </w:r>
      <w:r w:rsidR="004A30A5" w:rsidRPr="00816981">
        <w:rPr>
          <w:i/>
        </w:rPr>
        <w:t xml:space="preserve">an </w:t>
      </w:r>
      <w:r w:rsidR="0040699B" w:rsidRPr="00816981">
        <w:rPr>
          <w:i/>
        </w:rPr>
        <w:t>ETDY</w:t>
      </w:r>
      <w:r w:rsidR="002A4E29" w:rsidRPr="00816981">
        <w:rPr>
          <w:i/>
        </w:rPr>
        <w:t xml:space="preserve"> </w:t>
      </w:r>
      <w:r w:rsidR="008F6EB6" w:rsidRPr="00816981">
        <w:rPr>
          <w:i/>
        </w:rPr>
        <w:t>assignment</w:t>
      </w:r>
      <w:r w:rsidR="002111A9" w:rsidRPr="00816981">
        <w:rPr>
          <w:i/>
        </w:rPr>
        <w:t xml:space="preserve">, as parking </w:t>
      </w:r>
      <w:r w:rsidR="008F6EB6" w:rsidRPr="00816981">
        <w:rPr>
          <w:i/>
        </w:rPr>
        <w:t xml:space="preserve">may </w:t>
      </w:r>
      <w:r w:rsidR="000040B0" w:rsidRPr="00816981">
        <w:rPr>
          <w:i/>
        </w:rPr>
        <w:t>be charged and</w:t>
      </w:r>
      <w:r w:rsidR="004413B2">
        <w:rPr>
          <w:i/>
        </w:rPr>
        <w:t xml:space="preserve"> may</w:t>
      </w:r>
      <w:r w:rsidR="000040B0" w:rsidRPr="00816981">
        <w:rPr>
          <w:i/>
        </w:rPr>
        <w:t xml:space="preserve"> </w:t>
      </w:r>
      <w:r w:rsidR="008F6EB6" w:rsidRPr="00816981">
        <w:rPr>
          <w:i/>
        </w:rPr>
        <w:t>not</w:t>
      </w:r>
      <w:r w:rsidR="004413B2">
        <w:rPr>
          <w:i/>
        </w:rPr>
        <w:t xml:space="preserve"> be</w:t>
      </w:r>
      <w:r w:rsidR="008F6EB6" w:rsidRPr="00816981">
        <w:rPr>
          <w:i/>
        </w:rPr>
        <w:t xml:space="preserve"> a reimbursable expense at </w:t>
      </w:r>
      <w:r w:rsidR="000040B0" w:rsidRPr="00816981">
        <w:rPr>
          <w:i/>
        </w:rPr>
        <w:t xml:space="preserve">some </w:t>
      </w:r>
      <w:r w:rsidR="004A30A5" w:rsidRPr="00816981">
        <w:rPr>
          <w:i/>
        </w:rPr>
        <w:t>TDY locations</w:t>
      </w:r>
      <w:r w:rsidR="008F6EB6" w:rsidRPr="00816981">
        <w:rPr>
          <w:i/>
        </w:rPr>
        <w:t>.</w:t>
      </w:r>
      <w:r w:rsidR="008F6EB6" w:rsidRPr="00816981">
        <w:rPr>
          <w:b/>
          <w:i/>
        </w:rPr>
        <w:t xml:space="preserve"> </w:t>
      </w:r>
    </w:p>
    <w:p w14:paraId="62B54D12" w14:textId="77777777" w:rsidR="00D22C02" w:rsidRPr="00816981" w:rsidRDefault="00D22C02" w:rsidP="00595FA6">
      <w:pPr>
        <w:pStyle w:val="NPR2"/>
        <w:numPr>
          <w:ilvl w:val="1"/>
          <w:numId w:val="1"/>
        </w:numPr>
      </w:pPr>
      <w:r w:rsidRPr="00816981">
        <w:t xml:space="preserve">Payment of Travel </w:t>
      </w:r>
      <w:r w:rsidR="004413B2">
        <w:t>E</w:t>
      </w:r>
      <w:r w:rsidR="004413B2" w:rsidRPr="00816981">
        <w:t>xpenses</w:t>
      </w:r>
    </w:p>
    <w:p w14:paraId="605A9603" w14:textId="0ED54C36" w:rsidR="00D22C02" w:rsidRPr="00816981" w:rsidRDefault="00D22C02" w:rsidP="00595FA6">
      <w:pPr>
        <w:pStyle w:val="NPR3"/>
        <w:numPr>
          <w:ilvl w:val="0"/>
          <w:numId w:val="0"/>
        </w:numPr>
      </w:pPr>
      <w:r w:rsidRPr="00816981">
        <w:t>Per NPR 9730.1,</w:t>
      </w:r>
      <w:r w:rsidR="00447B45">
        <w:t xml:space="preserve"> Travel Cards,</w:t>
      </w:r>
      <w:r w:rsidRPr="00816981">
        <w:t xml:space="preserve"> NASA employees who are authorized official travel shall use their </w:t>
      </w:r>
      <w:r w:rsidR="004413B2">
        <w:t>G</w:t>
      </w:r>
      <w:r w:rsidR="00B37730">
        <w:t>overnment-</w:t>
      </w:r>
      <w:r w:rsidRPr="00816981">
        <w:t>issued travel card for all official travel expenses as the method of payment, unless exempted in accordance with</w:t>
      </w:r>
      <w:r w:rsidR="002E4243" w:rsidRPr="002E4243">
        <w:t xml:space="preserve"> </w:t>
      </w:r>
      <w:r w:rsidR="002E4243" w:rsidRPr="00662EA4">
        <w:t>Internal Policy and Procedure Requirements</w:t>
      </w:r>
      <w:r w:rsidRPr="00662EA4">
        <w:t xml:space="preserve"> 41 CFR § 301-70</w:t>
      </w:r>
      <w:r w:rsidRPr="00816981">
        <w:t xml:space="preserve">. </w:t>
      </w:r>
    </w:p>
    <w:p w14:paraId="0E39CF34" w14:textId="77777777" w:rsidR="001E3BF9" w:rsidRPr="00816981" w:rsidRDefault="001E3BF9" w:rsidP="00FE4EBA">
      <w:pPr>
        <w:pStyle w:val="NPR3"/>
        <w:numPr>
          <w:ilvl w:val="2"/>
          <w:numId w:val="1"/>
        </w:numPr>
        <w:ind w:left="0"/>
      </w:pPr>
      <w:r w:rsidRPr="00816981">
        <w:br w:type="page"/>
      </w:r>
    </w:p>
    <w:p w14:paraId="5ACEB6C3" w14:textId="77777777" w:rsidR="001E3BF9" w:rsidRPr="00816981" w:rsidRDefault="0088406F" w:rsidP="00277C9F">
      <w:pPr>
        <w:pStyle w:val="NPR10"/>
      </w:pPr>
      <w:bookmarkStart w:id="39" w:name="_Toc482711900"/>
      <w:r w:rsidRPr="00816981">
        <w:lastRenderedPageBreak/>
        <w:t>Reimbursement and Voucher</w:t>
      </w:r>
      <w:bookmarkEnd w:id="39"/>
    </w:p>
    <w:p w14:paraId="47462B82" w14:textId="77777777" w:rsidR="001E3BF9" w:rsidRPr="00816981" w:rsidRDefault="001E3BF9" w:rsidP="00595FA6">
      <w:pPr>
        <w:pStyle w:val="NPR2"/>
        <w:numPr>
          <w:ilvl w:val="1"/>
          <w:numId w:val="1"/>
        </w:numPr>
      </w:pPr>
      <w:bookmarkStart w:id="40" w:name="_Toc482711901"/>
      <w:r w:rsidRPr="00816981">
        <w:t>Filing for Reimbursement</w:t>
      </w:r>
      <w:bookmarkEnd w:id="40"/>
    </w:p>
    <w:p w14:paraId="69FFFDCE" w14:textId="77777777" w:rsidR="00237828" w:rsidRPr="00816981" w:rsidRDefault="000040B0" w:rsidP="00FE4EBA">
      <w:pPr>
        <w:pStyle w:val="NPR3"/>
        <w:numPr>
          <w:ilvl w:val="2"/>
          <w:numId w:val="1"/>
        </w:numPr>
        <w:ind w:left="0"/>
      </w:pPr>
      <w:r w:rsidRPr="00816981">
        <w:t>In general, claims should be submitted</w:t>
      </w:r>
      <w:r w:rsidR="00237828" w:rsidRPr="00816981">
        <w:t>:</w:t>
      </w:r>
    </w:p>
    <w:p w14:paraId="1CB8B10A" w14:textId="77777777" w:rsidR="00237828" w:rsidRPr="00816981" w:rsidRDefault="00237828">
      <w:pPr>
        <w:pStyle w:val="NPRLista"/>
        <w:numPr>
          <w:ilvl w:val="0"/>
          <w:numId w:val="25"/>
        </w:numPr>
        <w:ind w:left="0" w:firstLine="0"/>
      </w:pPr>
      <w:r w:rsidRPr="00816981">
        <w:t xml:space="preserve">Within five working days after completion of </w:t>
      </w:r>
      <w:r w:rsidR="000040B0" w:rsidRPr="00816981">
        <w:t xml:space="preserve">an embedded </w:t>
      </w:r>
      <w:r w:rsidRPr="00816981">
        <w:t>trip or period of travel</w:t>
      </w:r>
      <w:r w:rsidR="00B035C2" w:rsidRPr="00816981">
        <w:t>.</w:t>
      </w:r>
    </w:p>
    <w:p w14:paraId="746C8101" w14:textId="14DEDDC6" w:rsidR="00237828" w:rsidRPr="00816981" w:rsidRDefault="00237828">
      <w:pPr>
        <w:pStyle w:val="NPRLista"/>
      </w:pPr>
      <w:r w:rsidRPr="00816981">
        <w:t xml:space="preserve">On a monthly basis if on </w:t>
      </w:r>
      <w:r w:rsidR="0040699B" w:rsidRPr="00816981">
        <w:t>ETDY</w:t>
      </w:r>
      <w:r w:rsidR="00F61B74">
        <w:t>,</w:t>
      </w:r>
      <w:r w:rsidR="000040B0" w:rsidRPr="00816981">
        <w:t xml:space="preserve"> more frequent submissions (</w:t>
      </w:r>
      <w:r w:rsidRPr="00816981">
        <w:t>Every two weeks</w:t>
      </w:r>
      <w:r w:rsidR="000040B0" w:rsidRPr="00816981">
        <w:t xml:space="preserve">) should be made </w:t>
      </w:r>
      <w:r w:rsidRPr="00816981">
        <w:t xml:space="preserve">if </w:t>
      </w:r>
      <w:r w:rsidR="000040B0" w:rsidRPr="00816981">
        <w:t>the traveler has limitations such as</w:t>
      </w:r>
      <w:r w:rsidRPr="00816981">
        <w:t xml:space="preserve"> a restricted amount on their individually billed charge card.</w:t>
      </w:r>
    </w:p>
    <w:p w14:paraId="019E024C" w14:textId="77777777" w:rsidR="00E028FC" w:rsidRPr="00595FA6" w:rsidRDefault="00852F07" w:rsidP="00595FA6">
      <w:pPr>
        <w:pStyle w:val="Note"/>
      </w:pPr>
      <w:r w:rsidRPr="00595FA6">
        <w:t xml:space="preserve">Note: </w:t>
      </w:r>
      <w:r w:rsidR="001C13EF" w:rsidRPr="00595FA6">
        <w:t xml:space="preserve"> </w:t>
      </w:r>
      <w:r w:rsidRPr="00595FA6">
        <w:t xml:space="preserve">While on </w:t>
      </w:r>
      <w:r w:rsidR="0040699B" w:rsidRPr="00595FA6">
        <w:t>ETDY</w:t>
      </w:r>
      <w:r w:rsidRPr="00595FA6">
        <w:t xml:space="preserve"> status, </w:t>
      </w:r>
      <w:r w:rsidR="00B035C2" w:rsidRPr="00595FA6">
        <w:t>e</w:t>
      </w:r>
      <w:r w:rsidR="00DE7492" w:rsidRPr="00595FA6">
        <w:t>mployee</w:t>
      </w:r>
      <w:r w:rsidR="00237828" w:rsidRPr="00595FA6">
        <w:t>s</w:t>
      </w:r>
      <w:r w:rsidR="00D2522E" w:rsidRPr="00595FA6">
        <w:t xml:space="preserve"> should ensure they</w:t>
      </w:r>
      <w:r w:rsidR="00A1318F" w:rsidRPr="00595FA6">
        <w:t xml:space="preserve"> </w:t>
      </w:r>
      <w:r w:rsidRPr="00595FA6">
        <w:t xml:space="preserve">have receipts to support </w:t>
      </w:r>
      <w:r w:rsidR="00237828" w:rsidRPr="00595FA6">
        <w:t>their</w:t>
      </w:r>
      <w:r w:rsidRPr="00595FA6">
        <w:t xml:space="preserve"> reimbursemen</w:t>
      </w:r>
      <w:r w:rsidR="00E028FC" w:rsidRPr="00595FA6">
        <w:t>t</w:t>
      </w:r>
      <w:r w:rsidR="00B035C2" w:rsidRPr="00595FA6">
        <w:t xml:space="preserve"> for</w:t>
      </w:r>
      <w:r w:rsidR="001C3FF8" w:rsidRPr="00595FA6">
        <w:t xml:space="preserve"> lodging and authorized </w:t>
      </w:r>
      <w:r w:rsidR="00B035C2" w:rsidRPr="00595FA6">
        <w:t>expenses over $75.</w:t>
      </w:r>
    </w:p>
    <w:p w14:paraId="25CAC5B3" w14:textId="77777777" w:rsidR="0000175C" w:rsidRPr="00816981" w:rsidRDefault="00DE7492" w:rsidP="00FE4EBA">
      <w:pPr>
        <w:pStyle w:val="NPR3"/>
        <w:numPr>
          <w:ilvl w:val="2"/>
          <w:numId w:val="1"/>
        </w:numPr>
        <w:ind w:left="0"/>
      </w:pPr>
      <w:r w:rsidRPr="00816981">
        <w:t>Employee</w:t>
      </w:r>
      <w:r w:rsidR="00E028FC" w:rsidRPr="00816981">
        <w:t>s may</w:t>
      </w:r>
      <w:r w:rsidR="0000175C" w:rsidRPr="00816981">
        <w:t xml:space="preserve"> be reimbursed for the excess baggage in connection with </w:t>
      </w:r>
      <w:r w:rsidR="00E028FC" w:rsidRPr="00816981">
        <w:t>their</w:t>
      </w:r>
      <w:r w:rsidR="0000175C" w:rsidRPr="00816981">
        <w:t xml:space="preserve"> </w:t>
      </w:r>
      <w:r w:rsidR="0040699B" w:rsidRPr="00816981">
        <w:t>ETDY</w:t>
      </w:r>
      <w:r w:rsidR="0000175C" w:rsidRPr="00816981">
        <w:t xml:space="preserve"> assignment (</w:t>
      </w:r>
      <w:r w:rsidR="00B035C2" w:rsidRPr="00816981">
        <w:t>t</w:t>
      </w:r>
      <w:r w:rsidR="0000175C" w:rsidRPr="00816981">
        <w:t>o and from destination authorized)</w:t>
      </w:r>
      <w:r w:rsidR="008876A1">
        <w:t>,</w:t>
      </w:r>
      <w:r w:rsidR="0000175C" w:rsidRPr="00816981">
        <w:t xml:space="preserve"> </w:t>
      </w:r>
      <w:r w:rsidR="009534E5" w:rsidRPr="00816981">
        <w:t xml:space="preserve">if the following apply: </w:t>
      </w:r>
    </w:p>
    <w:p w14:paraId="6F0F1E52" w14:textId="77777777" w:rsidR="00E028FC" w:rsidRPr="00816981" w:rsidRDefault="0000175C">
      <w:pPr>
        <w:pStyle w:val="NPRLista"/>
        <w:numPr>
          <w:ilvl w:val="0"/>
          <w:numId w:val="26"/>
        </w:numPr>
        <w:ind w:left="0" w:firstLine="0"/>
      </w:pPr>
      <w:r w:rsidRPr="00816981">
        <w:t xml:space="preserve">It is justified in connection with </w:t>
      </w:r>
      <w:r w:rsidR="00E028FC" w:rsidRPr="00816981">
        <w:t>their</w:t>
      </w:r>
      <w:r w:rsidRPr="00816981">
        <w:t xml:space="preserve"> </w:t>
      </w:r>
      <w:r w:rsidR="0040699B" w:rsidRPr="00816981">
        <w:t>ETDY</w:t>
      </w:r>
      <w:r w:rsidRPr="00816981">
        <w:t xml:space="preserve"> assignment.</w:t>
      </w:r>
    </w:p>
    <w:p w14:paraId="320B2145" w14:textId="77777777" w:rsidR="00E028FC" w:rsidRPr="00816981" w:rsidRDefault="00D2522E">
      <w:pPr>
        <w:pStyle w:val="NPRLista"/>
      </w:pPr>
      <w:r w:rsidRPr="00816981">
        <w:t xml:space="preserve">The employee shall ensure that the </w:t>
      </w:r>
      <w:r w:rsidR="00E028FC" w:rsidRPr="00816981">
        <w:t xml:space="preserve">excess baggage transported </w:t>
      </w:r>
      <w:r w:rsidRPr="00816981">
        <w:t xml:space="preserve">does not </w:t>
      </w:r>
      <w:r w:rsidR="001C13EF">
        <w:t>exceed up to four</w:t>
      </w:r>
      <w:r w:rsidR="00E028FC" w:rsidRPr="00816981">
        <w:t xml:space="preserve"> checked bags and </w:t>
      </w:r>
      <w:r w:rsidRPr="00816981">
        <w:t>are</w:t>
      </w:r>
      <w:r w:rsidR="00E028FC" w:rsidRPr="00816981">
        <w:t xml:space="preserve"> within size and weight limit of airline rule</w:t>
      </w:r>
      <w:r w:rsidR="00C66483" w:rsidRPr="00816981">
        <w:t>.</w:t>
      </w:r>
    </w:p>
    <w:p w14:paraId="0285C999" w14:textId="03EAB3CA" w:rsidR="00774A3F" w:rsidRPr="00595FA6" w:rsidRDefault="0000175C" w:rsidP="00595FA6">
      <w:pPr>
        <w:pStyle w:val="Note"/>
        <w:rPr>
          <w:b/>
          <w:sz w:val="22"/>
        </w:rPr>
      </w:pPr>
      <w:r w:rsidRPr="00DE2E6D">
        <w:t>Note:</w:t>
      </w:r>
      <w:r w:rsidR="001C13EF" w:rsidRPr="00B97873">
        <w:t xml:space="preserve"> </w:t>
      </w:r>
      <w:r w:rsidRPr="00B97873">
        <w:t xml:space="preserve"> </w:t>
      </w:r>
      <w:r w:rsidRPr="00816981">
        <w:t>Excess baggage does not include furniture or household items.</w:t>
      </w:r>
    </w:p>
    <w:p w14:paraId="6193AA8D" w14:textId="77777777" w:rsidR="00774A3F" w:rsidRPr="00816981" w:rsidRDefault="00B6561F" w:rsidP="00FE4EBA">
      <w:pPr>
        <w:pStyle w:val="NPR2"/>
        <w:numPr>
          <w:ilvl w:val="1"/>
          <w:numId w:val="1"/>
        </w:numPr>
      </w:pPr>
      <w:bookmarkStart w:id="41" w:name="_Toc482711902"/>
      <w:r w:rsidRPr="00816981">
        <w:t>Extended TDY Tax Reimbursement Allowance (ET</w:t>
      </w:r>
      <w:r w:rsidR="00774A3F" w:rsidRPr="00816981">
        <w:t>TRA)</w:t>
      </w:r>
      <w:bookmarkEnd w:id="41"/>
    </w:p>
    <w:p w14:paraId="7902D75C" w14:textId="7010FF32" w:rsidR="00774A3F" w:rsidRPr="00816981" w:rsidRDefault="00774A3F" w:rsidP="00FE4EBA">
      <w:pPr>
        <w:pStyle w:val="NPR3"/>
        <w:numPr>
          <w:ilvl w:val="2"/>
          <w:numId w:val="1"/>
        </w:numPr>
        <w:ind w:left="0"/>
      </w:pPr>
      <w:r w:rsidRPr="00816981">
        <w:t xml:space="preserve">Per </w:t>
      </w:r>
      <w:r w:rsidR="00946C38" w:rsidRPr="00662EA4">
        <w:t>Internal Revenue Service (</w:t>
      </w:r>
      <w:r w:rsidRPr="00662EA4">
        <w:t>IRS</w:t>
      </w:r>
      <w:r w:rsidR="00946C38" w:rsidRPr="00662EA4">
        <w:t>)</w:t>
      </w:r>
      <w:r w:rsidRPr="00662EA4">
        <w:t xml:space="preserve"> publication 463</w:t>
      </w:r>
      <w:r w:rsidRPr="00816981">
        <w:t xml:space="preserve">, </w:t>
      </w:r>
      <w:r w:rsidR="00A1115F" w:rsidRPr="00816981">
        <w:t xml:space="preserve">reimbursements for </w:t>
      </w:r>
      <w:r w:rsidRPr="00816981">
        <w:t>long-term assignments in excess of one year at the same location, regardless of the duties being performed, are considered to be income by the IRS</w:t>
      </w:r>
      <w:r w:rsidR="00B32A5C">
        <w:t>.</w:t>
      </w:r>
      <w:r w:rsidRPr="00816981">
        <w:t xml:space="preserve"> </w:t>
      </w:r>
      <w:r w:rsidR="006C1D0C">
        <w:t xml:space="preserve"> </w:t>
      </w:r>
      <w:r w:rsidR="00B32A5C">
        <w:t>NASA</w:t>
      </w:r>
      <w:r w:rsidRPr="00816981">
        <w:t xml:space="preserve"> is obligated to report all reimbursements as income to the employee, from the point </w:t>
      </w:r>
      <w:r w:rsidR="00A1115F" w:rsidRPr="00816981">
        <w:t xml:space="preserve">in time </w:t>
      </w:r>
      <w:r w:rsidRPr="00816981">
        <w:t xml:space="preserve">that it can be reasonably determined that the assignment will exceed 365 days. </w:t>
      </w:r>
      <w:r w:rsidR="008C0333">
        <w:t xml:space="preserve"> </w:t>
      </w:r>
      <w:r w:rsidRPr="00816981">
        <w:t xml:space="preserve">A series of assignments to the same location, all for short periods, but that together cover a long period may be considered an indefinite assignment and therefore taxable. </w:t>
      </w:r>
      <w:r w:rsidR="008C0333">
        <w:t xml:space="preserve"> </w:t>
      </w:r>
      <w:r w:rsidR="00667094" w:rsidRPr="00816981">
        <w:t xml:space="preserve">What is considered a long period may vary; for example, </w:t>
      </w:r>
      <w:r w:rsidR="008C0333">
        <w:t>p</w:t>
      </w:r>
      <w:r w:rsidRPr="00816981">
        <w:t xml:space="preserve">er </w:t>
      </w:r>
      <w:r w:rsidR="000C6D2B" w:rsidRPr="00816981">
        <w:t xml:space="preserve">the </w:t>
      </w:r>
      <w:r w:rsidRPr="00662EA4">
        <w:t xml:space="preserve">IRS </w:t>
      </w:r>
      <w:r w:rsidR="000C6D2B" w:rsidRPr="00662EA4">
        <w:t xml:space="preserve">Chief Counsel Advice </w:t>
      </w:r>
      <w:r w:rsidRPr="00662EA4">
        <w:t>Memorandum 200026025</w:t>
      </w:r>
      <w:r w:rsidRPr="00816981">
        <w:t>, “it is reasonable to treat a break of at least seven months as significant, thereby treating two work segments separated by a seven-month break as separate periods of employment for applying the one-year limitation</w:t>
      </w:r>
      <w:r w:rsidR="008876A1" w:rsidRPr="00816981">
        <w:t>.</w:t>
      </w:r>
      <w:r w:rsidR="008876A1">
        <w:t>”</w:t>
      </w:r>
    </w:p>
    <w:p w14:paraId="7D0CEA17" w14:textId="4D58251F" w:rsidR="0000175C" w:rsidRPr="00816981" w:rsidRDefault="00774A3F" w:rsidP="00FE4EBA">
      <w:pPr>
        <w:pStyle w:val="NPR3"/>
        <w:numPr>
          <w:ilvl w:val="2"/>
          <w:numId w:val="1"/>
        </w:numPr>
        <w:ind w:left="0"/>
      </w:pPr>
      <w:r w:rsidRPr="00816981">
        <w:t>NASA requires a certified statement as prescribed in</w:t>
      </w:r>
      <w:r w:rsidR="002E4243" w:rsidRPr="002E4243">
        <w:t xml:space="preserve"> Taxes on Relocation Expense</w:t>
      </w:r>
      <w:r w:rsidR="002E4243">
        <w:t xml:space="preserve">, </w:t>
      </w:r>
      <w:r w:rsidR="00A564A1" w:rsidRPr="00816981">
        <w:t xml:space="preserve">41 CFR § </w:t>
      </w:r>
      <w:r w:rsidRPr="00816981">
        <w:t>302-17</w:t>
      </w:r>
      <w:r w:rsidR="002E4243">
        <w:t>,</w:t>
      </w:r>
      <w:r w:rsidR="00A564A1" w:rsidRPr="00816981" w:rsidDel="00A564A1">
        <w:t xml:space="preserve"> </w:t>
      </w:r>
      <w:r w:rsidRPr="00816981">
        <w:t xml:space="preserve">the net earnings (or loss) for self-employment income shown on </w:t>
      </w:r>
      <w:r w:rsidR="00662EA4" w:rsidRPr="00662EA4">
        <w:t>U.S. Individual IRS Income Tax Form 1040</w:t>
      </w:r>
      <w:r w:rsidRPr="00816981">
        <w:t xml:space="preserve">, and a copy of the employee’s W-2s and, if applicable, </w:t>
      </w:r>
      <w:proofErr w:type="gramStart"/>
      <w:r w:rsidRPr="00816981">
        <w:t xml:space="preserve">corrected </w:t>
      </w:r>
      <w:r w:rsidR="00662EA4">
        <w:t xml:space="preserve"> </w:t>
      </w:r>
      <w:r w:rsidRPr="00816981">
        <w:t>W</w:t>
      </w:r>
      <w:proofErr w:type="gramEnd"/>
      <w:r w:rsidRPr="00816981">
        <w:t xml:space="preserve">-2s. </w:t>
      </w:r>
    </w:p>
    <w:p w14:paraId="737D765A" w14:textId="77777777" w:rsidR="00AD7B29" w:rsidRPr="00816981" w:rsidRDefault="001E3BF9" w:rsidP="00FE4EBA">
      <w:pPr>
        <w:pStyle w:val="NPR2"/>
        <w:numPr>
          <w:ilvl w:val="1"/>
          <w:numId w:val="1"/>
        </w:numPr>
      </w:pPr>
      <w:bookmarkStart w:id="42" w:name="_Toc482711903"/>
      <w:r w:rsidRPr="00816981">
        <w:t>Final Voucher</w:t>
      </w:r>
      <w:bookmarkEnd w:id="42"/>
    </w:p>
    <w:p w14:paraId="2F326098" w14:textId="77777777" w:rsidR="00E24BE1" w:rsidRPr="00816981" w:rsidRDefault="00D2522E" w:rsidP="00EC0BA0">
      <w:pPr>
        <w:pStyle w:val="NPR3"/>
        <w:numPr>
          <w:ilvl w:val="0"/>
          <w:numId w:val="0"/>
        </w:numPr>
        <w:autoSpaceDE w:val="0"/>
        <w:autoSpaceDN w:val="0"/>
        <w:adjustRightInd w:val="0"/>
      </w:pPr>
      <w:r w:rsidRPr="00816981">
        <w:t>Employee shall ensure that a</w:t>
      </w:r>
      <w:r w:rsidR="00AD7B29" w:rsidRPr="00816981">
        <w:t xml:space="preserve">ll travel claims </w:t>
      </w:r>
      <w:r w:rsidR="00A564A1" w:rsidRPr="00816981">
        <w:t>are</w:t>
      </w:r>
      <w:r w:rsidR="00AD7B29" w:rsidRPr="00816981">
        <w:t xml:space="preserve"> connected with an approved travel authorization. The employee’s reimbursement will be based on the applicable authorized reduced per diem rate. Employees are required to submit receipts for lodging and any other expenses over $75 with each claim.</w:t>
      </w:r>
    </w:p>
    <w:p w14:paraId="3AB07179" w14:textId="77777777" w:rsidR="006540F3" w:rsidRPr="00816981" w:rsidRDefault="00E24BE1" w:rsidP="00E24BE1">
      <w:pPr>
        <w:spacing w:after="0" w:line="240" w:lineRule="auto"/>
        <w:rPr>
          <w:szCs w:val="24"/>
        </w:rPr>
      </w:pPr>
      <w:r w:rsidRPr="00816981">
        <w:br w:type="page"/>
      </w:r>
    </w:p>
    <w:p w14:paraId="1DFE0906" w14:textId="77777777" w:rsidR="00D4268F" w:rsidRPr="00816981" w:rsidRDefault="001258A4" w:rsidP="001258A4">
      <w:pPr>
        <w:pStyle w:val="Appendix1"/>
      </w:pPr>
      <w:bookmarkStart w:id="43" w:name="b_1"/>
      <w:bookmarkEnd w:id="43"/>
      <w:r w:rsidRPr="00816981">
        <w:lastRenderedPageBreak/>
        <w:t>Acronyms</w:t>
      </w:r>
    </w:p>
    <w:tbl>
      <w:tblPr>
        <w:tblW w:w="8460" w:type="dxa"/>
        <w:tblLook w:val="04A0" w:firstRow="1" w:lastRow="0" w:firstColumn="1" w:lastColumn="0" w:noHBand="0" w:noVBand="1"/>
      </w:tblPr>
      <w:tblGrid>
        <w:gridCol w:w="2223"/>
        <w:gridCol w:w="6237"/>
      </w:tblGrid>
      <w:tr w:rsidR="001258A4" w:rsidRPr="00816981" w14:paraId="3D0BB831" w14:textId="77777777" w:rsidTr="00DE2E6D">
        <w:trPr>
          <w:trHeight w:val="310"/>
        </w:trPr>
        <w:tc>
          <w:tcPr>
            <w:tcW w:w="2223" w:type="dxa"/>
            <w:shd w:val="clear" w:color="auto" w:fill="auto"/>
            <w:vAlign w:val="center"/>
            <w:hideMark/>
          </w:tcPr>
          <w:p w14:paraId="35ACEB65" w14:textId="77777777" w:rsidR="001258A4" w:rsidRPr="00816981" w:rsidRDefault="001258A4" w:rsidP="00F41280">
            <w:pPr>
              <w:spacing w:after="0"/>
              <w:rPr>
                <w:rFonts w:ascii="12" w:hAnsi="12"/>
                <w:color w:val="000000"/>
              </w:rPr>
            </w:pPr>
            <w:r w:rsidRPr="00816981">
              <w:rPr>
                <w:rFonts w:ascii="12" w:hAnsi="12"/>
                <w:color w:val="000000"/>
              </w:rPr>
              <w:t>CFR</w:t>
            </w:r>
          </w:p>
        </w:tc>
        <w:tc>
          <w:tcPr>
            <w:tcW w:w="6237" w:type="dxa"/>
            <w:shd w:val="clear" w:color="auto" w:fill="auto"/>
            <w:vAlign w:val="center"/>
            <w:hideMark/>
          </w:tcPr>
          <w:p w14:paraId="45CF4EB8" w14:textId="77777777" w:rsidR="001258A4" w:rsidRPr="00816981" w:rsidRDefault="001258A4" w:rsidP="00F41280">
            <w:pPr>
              <w:spacing w:after="0"/>
              <w:rPr>
                <w:rFonts w:ascii="12" w:hAnsi="12"/>
                <w:color w:val="000000"/>
              </w:rPr>
            </w:pPr>
            <w:r w:rsidRPr="00816981">
              <w:rPr>
                <w:rFonts w:ascii="12" w:hAnsi="12"/>
                <w:color w:val="000000"/>
              </w:rPr>
              <w:t>Code of Federal Regulation</w:t>
            </w:r>
            <w:r w:rsidR="00D5504C">
              <w:rPr>
                <w:rFonts w:ascii="12" w:hAnsi="12"/>
                <w:color w:val="000000"/>
              </w:rPr>
              <w:t>s</w:t>
            </w:r>
          </w:p>
        </w:tc>
      </w:tr>
      <w:tr w:rsidR="00DF393A" w:rsidRPr="00816981" w14:paraId="1401E4A2" w14:textId="77777777" w:rsidTr="00DE2E6D">
        <w:trPr>
          <w:trHeight w:val="310"/>
        </w:trPr>
        <w:tc>
          <w:tcPr>
            <w:tcW w:w="2223" w:type="dxa"/>
            <w:shd w:val="clear" w:color="auto" w:fill="auto"/>
            <w:vAlign w:val="center"/>
          </w:tcPr>
          <w:p w14:paraId="05A6175B" w14:textId="77777777" w:rsidR="00DF393A" w:rsidRPr="00816981" w:rsidRDefault="00DF393A" w:rsidP="00F41280">
            <w:pPr>
              <w:spacing w:after="0"/>
              <w:rPr>
                <w:rFonts w:ascii="12" w:hAnsi="12"/>
                <w:color w:val="000000"/>
              </w:rPr>
            </w:pPr>
            <w:r w:rsidRPr="00816981">
              <w:rPr>
                <w:rFonts w:ascii="12" w:hAnsi="12"/>
                <w:color w:val="000000"/>
              </w:rPr>
              <w:t>DCFO</w:t>
            </w:r>
          </w:p>
        </w:tc>
        <w:tc>
          <w:tcPr>
            <w:tcW w:w="6237" w:type="dxa"/>
            <w:shd w:val="clear" w:color="auto" w:fill="auto"/>
            <w:vAlign w:val="center"/>
          </w:tcPr>
          <w:p w14:paraId="4FDAB295" w14:textId="77777777" w:rsidR="00DF393A" w:rsidRPr="00816981" w:rsidRDefault="00DF393A" w:rsidP="00F41280">
            <w:pPr>
              <w:spacing w:after="0"/>
              <w:rPr>
                <w:rFonts w:ascii="12" w:hAnsi="12"/>
                <w:color w:val="000000"/>
              </w:rPr>
            </w:pPr>
            <w:r w:rsidRPr="00816981">
              <w:rPr>
                <w:rFonts w:ascii="12" w:hAnsi="12"/>
                <w:color w:val="000000"/>
              </w:rPr>
              <w:t>Deputy Chief Financial Officer</w:t>
            </w:r>
          </w:p>
        </w:tc>
      </w:tr>
      <w:tr w:rsidR="00E24BE1" w:rsidRPr="00816981" w14:paraId="79B925B5" w14:textId="77777777" w:rsidTr="00DE2E6D">
        <w:trPr>
          <w:trHeight w:val="310"/>
        </w:trPr>
        <w:tc>
          <w:tcPr>
            <w:tcW w:w="2223" w:type="dxa"/>
            <w:shd w:val="clear" w:color="auto" w:fill="auto"/>
            <w:vAlign w:val="center"/>
          </w:tcPr>
          <w:p w14:paraId="27ACE0E9" w14:textId="77777777" w:rsidR="00E24BE1" w:rsidRPr="00816981" w:rsidRDefault="00E24BE1" w:rsidP="00F41280">
            <w:pPr>
              <w:spacing w:after="0"/>
              <w:rPr>
                <w:rFonts w:ascii="12" w:hAnsi="12"/>
                <w:color w:val="000000"/>
              </w:rPr>
            </w:pPr>
            <w:r w:rsidRPr="00816981">
              <w:rPr>
                <w:rFonts w:ascii="12" w:hAnsi="12"/>
                <w:color w:val="000000"/>
              </w:rPr>
              <w:t>ETTRA</w:t>
            </w:r>
          </w:p>
        </w:tc>
        <w:tc>
          <w:tcPr>
            <w:tcW w:w="6237" w:type="dxa"/>
            <w:shd w:val="clear" w:color="auto" w:fill="auto"/>
            <w:vAlign w:val="center"/>
          </w:tcPr>
          <w:p w14:paraId="2E3D1E1E" w14:textId="77777777" w:rsidR="00E24BE1" w:rsidRPr="00816981" w:rsidRDefault="00E24BE1" w:rsidP="00F13ABB">
            <w:pPr>
              <w:spacing w:after="0"/>
              <w:rPr>
                <w:rFonts w:ascii="12" w:hAnsi="12"/>
                <w:color w:val="000000"/>
              </w:rPr>
            </w:pPr>
            <w:r w:rsidRPr="00816981">
              <w:rPr>
                <w:rFonts w:ascii="12" w:hAnsi="12"/>
                <w:color w:val="000000"/>
              </w:rPr>
              <w:t>Extended T</w:t>
            </w:r>
            <w:r w:rsidR="00F13ABB">
              <w:rPr>
                <w:rFonts w:ascii="12" w:hAnsi="12"/>
                <w:color w:val="000000"/>
              </w:rPr>
              <w:t>emporary Duty</w:t>
            </w:r>
            <w:r w:rsidRPr="00816981">
              <w:rPr>
                <w:rFonts w:ascii="12" w:hAnsi="12"/>
                <w:color w:val="000000"/>
              </w:rPr>
              <w:t xml:space="preserve"> Tax Reimbursement Allowance</w:t>
            </w:r>
          </w:p>
        </w:tc>
      </w:tr>
      <w:tr w:rsidR="00F13ABB" w:rsidRPr="00816981" w14:paraId="34057992" w14:textId="77777777" w:rsidTr="00DE2E6D">
        <w:trPr>
          <w:trHeight w:val="310"/>
        </w:trPr>
        <w:tc>
          <w:tcPr>
            <w:tcW w:w="2223" w:type="dxa"/>
            <w:shd w:val="clear" w:color="auto" w:fill="auto"/>
            <w:vAlign w:val="center"/>
          </w:tcPr>
          <w:p w14:paraId="4EE89587" w14:textId="77777777" w:rsidR="00F13ABB" w:rsidRPr="00816981" w:rsidRDefault="00F13ABB" w:rsidP="00F41280">
            <w:pPr>
              <w:spacing w:after="0"/>
              <w:rPr>
                <w:rFonts w:ascii="12" w:hAnsi="12"/>
                <w:color w:val="000000"/>
              </w:rPr>
            </w:pPr>
            <w:r>
              <w:rPr>
                <w:rFonts w:ascii="12" w:hAnsi="12"/>
                <w:color w:val="000000"/>
              </w:rPr>
              <w:t>ETDY</w:t>
            </w:r>
          </w:p>
        </w:tc>
        <w:tc>
          <w:tcPr>
            <w:tcW w:w="6237" w:type="dxa"/>
            <w:shd w:val="clear" w:color="auto" w:fill="auto"/>
            <w:vAlign w:val="center"/>
          </w:tcPr>
          <w:p w14:paraId="4BBD30C9" w14:textId="77777777" w:rsidR="00F13ABB" w:rsidRPr="00816981" w:rsidRDefault="00F13ABB" w:rsidP="00F41280">
            <w:pPr>
              <w:spacing w:after="0"/>
              <w:rPr>
                <w:rFonts w:ascii="12" w:hAnsi="12"/>
                <w:color w:val="000000"/>
              </w:rPr>
            </w:pPr>
            <w:r>
              <w:rPr>
                <w:rFonts w:ascii="12" w:hAnsi="12"/>
                <w:color w:val="000000"/>
              </w:rPr>
              <w:t>Extended Temporary Duty</w:t>
            </w:r>
          </w:p>
        </w:tc>
      </w:tr>
      <w:tr w:rsidR="001258A4" w:rsidRPr="00816981" w14:paraId="3102051D" w14:textId="77777777" w:rsidTr="00DE2E6D">
        <w:trPr>
          <w:trHeight w:val="310"/>
        </w:trPr>
        <w:tc>
          <w:tcPr>
            <w:tcW w:w="2223" w:type="dxa"/>
            <w:shd w:val="clear" w:color="auto" w:fill="auto"/>
            <w:vAlign w:val="center"/>
            <w:hideMark/>
          </w:tcPr>
          <w:p w14:paraId="511594C1" w14:textId="77777777" w:rsidR="001258A4" w:rsidRPr="00816981" w:rsidRDefault="001258A4" w:rsidP="00F41280">
            <w:pPr>
              <w:spacing w:after="0"/>
              <w:rPr>
                <w:rFonts w:ascii="12" w:hAnsi="12"/>
                <w:color w:val="000000"/>
              </w:rPr>
            </w:pPr>
            <w:r w:rsidRPr="00816981">
              <w:rPr>
                <w:rFonts w:ascii="12" w:hAnsi="12"/>
                <w:color w:val="000000"/>
              </w:rPr>
              <w:t>FEMA</w:t>
            </w:r>
          </w:p>
        </w:tc>
        <w:tc>
          <w:tcPr>
            <w:tcW w:w="6237" w:type="dxa"/>
            <w:shd w:val="clear" w:color="auto" w:fill="auto"/>
            <w:vAlign w:val="center"/>
            <w:hideMark/>
          </w:tcPr>
          <w:p w14:paraId="43F88B3A" w14:textId="77777777" w:rsidR="001258A4" w:rsidRPr="00816981" w:rsidRDefault="001258A4" w:rsidP="00D5504C">
            <w:pPr>
              <w:spacing w:after="0"/>
              <w:rPr>
                <w:rFonts w:ascii="12" w:hAnsi="12"/>
                <w:color w:val="000000"/>
              </w:rPr>
            </w:pPr>
            <w:r w:rsidRPr="00816981">
              <w:rPr>
                <w:rFonts w:ascii="12" w:hAnsi="12"/>
                <w:color w:val="000000"/>
              </w:rPr>
              <w:t xml:space="preserve">Federal Emergency Management </w:t>
            </w:r>
            <w:r w:rsidR="00D5504C">
              <w:rPr>
                <w:rFonts w:ascii="12" w:hAnsi="12"/>
                <w:color w:val="000000"/>
              </w:rPr>
              <w:t>Agency</w:t>
            </w:r>
          </w:p>
        </w:tc>
      </w:tr>
      <w:tr w:rsidR="001258A4" w:rsidRPr="00816981" w14:paraId="26EC682D" w14:textId="77777777" w:rsidTr="00DE2E6D">
        <w:trPr>
          <w:trHeight w:val="310"/>
        </w:trPr>
        <w:tc>
          <w:tcPr>
            <w:tcW w:w="2223" w:type="dxa"/>
            <w:shd w:val="clear" w:color="auto" w:fill="auto"/>
            <w:vAlign w:val="center"/>
            <w:hideMark/>
          </w:tcPr>
          <w:p w14:paraId="358B0998" w14:textId="77777777" w:rsidR="001258A4" w:rsidRPr="00816981" w:rsidRDefault="001258A4" w:rsidP="00F41280">
            <w:pPr>
              <w:spacing w:after="0"/>
              <w:rPr>
                <w:rFonts w:ascii="12" w:hAnsi="12"/>
                <w:color w:val="000000"/>
              </w:rPr>
            </w:pPr>
            <w:r w:rsidRPr="00816981">
              <w:rPr>
                <w:rFonts w:ascii="12" w:hAnsi="12"/>
                <w:color w:val="000000"/>
              </w:rPr>
              <w:t>FTR</w:t>
            </w:r>
          </w:p>
        </w:tc>
        <w:tc>
          <w:tcPr>
            <w:tcW w:w="6237" w:type="dxa"/>
            <w:shd w:val="clear" w:color="auto" w:fill="auto"/>
            <w:vAlign w:val="center"/>
            <w:hideMark/>
          </w:tcPr>
          <w:p w14:paraId="31FBE0D0" w14:textId="77777777" w:rsidR="001258A4" w:rsidRPr="00816981" w:rsidRDefault="001258A4" w:rsidP="00F41280">
            <w:pPr>
              <w:spacing w:after="0"/>
              <w:rPr>
                <w:rFonts w:ascii="12" w:hAnsi="12"/>
                <w:color w:val="000000"/>
              </w:rPr>
            </w:pPr>
            <w:r w:rsidRPr="00816981">
              <w:rPr>
                <w:rFonts w:ascii="12" w:hAnsi="12"/>
                <w:color w:val="000000"/>
              </w:rPr>
              <w:t>Federal Travel Regulation</w:t>
            </w:r>
          </w:p>
        </w:tc>
      </w:tr>
      <w:tr w:rsidR="001258A4" w:rsidRPr="00816981" w14:paraId="29F0461E" w14:textId="77777777" w:rsidTr="00DE2E6D">
        <w:trPr>
          <w:trHeight w:val="310"/>
        </w:trPr>
        <w:tc>
          <w:tcPr>
            <w:tcW w:w="2223" w:type="dxa"/>
            <w:shd w:val="clear" w:color="auto" w:fill="auto"/>
            <w:vAlign w:val="center"/>
            <w:hideMark/>
          </w:tcPr>
          <w:p w14:paraId="56654D4E" w14:textId="77777777" w:rsidR="001258A4" w:rsidRPr="00816981" w:rsidRDefault="001258A4" w:rsidP="00F41280">
            <w:pPr>
              <w:spacing w:after="0"/>
              <w:rPr>
                <w:rFonts w:ascii="12" w:hAnsi="12"/>
                <w:color w:val="000000"/>
              </w:rPr>
            </w:pPr>
            <w:r w:rsidRPr="00816981">
              <w:rPr>
                <w:rFonts w:ascii="12" w:hAnsi="12"/>
                <w:color w:val="000000"/>
              </w:rPr>
              <w:t>GSA</w:t>
            </w:r>
          </w:p>
        </w:tc>
        <w:tc>
          <w:tcPr>
            <w:tcW w:w="6237" w:type="dxa"/>
            <w:shd w:val="clear" w:color="auto" w:fill="auto"/>
            <w:vAlign w:val="center"/>
            <w:hideMark/>
          </w:tcPr>
          <w:p w14:paraId="075383B4" w14:textId="77777777" w:rsidR="001258A4" w:rsidRPr="00816981" w:rsidRDefault="001258A4" w:rsidP="00F41280">
            <w:pPr>
              <w:spacing w:after="0"/>
              <w:rPr>
                <w:rFonts w:ascii="12" w:hAnsi="12"/>
                <w:color w:val="000000"/>
              </w:rPr>
            </w:pPr>
            <w:r w:rsidRPr="00816981">
              <w:rPr>
                <w:rFonts w:ascii="12" w:hAnsi="12"/>
                <w:color w:val="000000"/>
              </w:rPr>
              <w:t>General Services Administration</w:t>
            </w:r>
          </w:p>
        </w:tc>
      </w:tr>
      <w:tr w:rsidR="001258A4" w:rsidRPr="00816981" w14:paraId="17CF6506" w14:textId="77777777" w:rsidTr="00DE2E6D">
        <w:trPr>
          <w:trHeight w:val="310"/>
        </w:trPr>
        <w:tc>
          <w:tcPr>
            <w:tcW w:w="2223" w:type="dxa"/>
            <w:shd w:val="clear" w:color="auto" w:fill="auto"/>
            <w:vAlign w:val="center"/>
            <w:hideMark/>
          </w:tcPr>
          <w:p w14:paraId="01BEA972" w14:textId="77777777" w:rsidR="001258A4" w:rsidRPr="00816981" w:rsidRDefault="000E19E5" w:rsidP="00F41280">
            <w:pPr>
              <w:spacing w:after="0"/>
              <w:rPr>
                <w:rFonts w:ascii="12" w:hAnsi="12"/>
                <w:color w:val="000000"/>
              </w:rPr>
            </w:pPr>
            <w:r w:rsidRPr="00816981">
              <w:rPr>
                <w:rFonts w:ascii="12" w:hAnsi="12"/>
                <w:color w:val="000000"/>
              </w:rPr>
              <w:t>IPA</w:t>
            </w:r>
          </w:p>
        </w:tc>
        <w:tc>
          <w:tcPr>
            <w:tcW w:w="6237" w:type="dxa"/>
            <w:shd w:val="clear" w:color="auto" w:fill="auto"/>
            <w:vAlign w:val="center"/>
            <w:hideMark/>
          </w:tcPr>
          <w:p w14:paraId="0A7724E7" w14:textId="77777777" w:rsidR="001258A4" w:rsidRPr="00816981" w:rsidRDefault="000E19E5" w:rsidP="00F41280">
            <w:pPr>
              <w:spacing w:after="0"/>
              <w:rPr>
                <w:rFonts w:ascii="12" w:hAnsi="12"/>
                <w:color w:val="000000"/>
              </w:rPr>
            </w:pPr>
            <w:r w:rsidRPr="00816981">
              <w:rPr>
                <w:rFonts w:ascii="12" w:hAnsi="12"/>
                <w:color w:val="000000"/>
              </w:rPr>
              <w:t>Interpersonal Government Act</w:t>
            </w:r>
          </w:p>
        </w:tc>
      </w:tr>
      <w:tr w:rsidR="00946C38" w:rsidRPr="00816981" w14:paraId="4C59B2CA" w14:textId="77777777" w:rsidTr="00DE2E6D">
        <w:trPr>
          <w:trHeight w:val="310"/>
        </w:trPr>
        <w:tc>
          <w:tcPr>
            <w:tcW w:w="2223" w:type="dxa"/>
            <w:shd w:val="clear" w:color="auto" w:fill="auto"/>
            <w:vAlign w:val="center"/>
          </w:tcPr>
          <w:p w14:paraId="2E8A1C89" w14:textId="6F37F955" w:rsidR="00946C38" w:rsidRPr="00816981" w:rsidRDefault="00946C38" w:rsidP="00F41280">
            <w:pPr>
              <w:spacing w:after="0"/>
              <w:rPr>
                <w:rFonts w:ascii="12" w:hAnsi="12"/>
                <w:color w:val="000000"/>
              </w:rPr>
            </w:pPr>
            <w:r>
              <w:rPr>
                <w:rFonts w:ascii="12" w:hAnsi="12"/>
                <w:color w:val="000000"/>
              </w:rPr>
              <w:t>IRS</w:t>
            </w:r>
          </w:p>
        </w:tc>
        <w:tc>
          <w:tcPr>
            <w:tcW w:w="6237" w:type="dxa"/>
            <w:shd w:val="clear" w:color="auto" w:fill="auto"/>
            <w:vAlign w:val="center"/>
          </w:tcPr>
          <w:p w14:paraId="037576C2" w14:textId="47C1D6B1" w:rsidR="00946C38" w:rsidRPr="00816981" w:rsidRDefault="00946C38" w:rsidP="00F41280">
            <w:pPr>
              <w:spacing w:after="0"/>
              <w:rPr>
                <w:rFonts w:ascii="12" w:hAnsi="12"/>
                <w:color w:val="000000"/>
              </w:rPr>
            </w:pPr>
            <w:r>
              <w:rPr>
                <w:rFonts w:ascii="12" w:hAnsi="12"/>
                <w:color w:val="000000"/>
              </w:rPr>
              <w:t>Internal Revenue Service</w:t>
            </w:r>
          </w:p>
        </w:tc>
      </w:tr>
      <w:tr w:rsidR="00317E8B" w:rsidRPr="00816981" w14:paraId="42DB18BD" w14:textId="77777777" w:rsidTr="00DE2E6D">
        <w:trPr>
          <w:trHeight w:val="310"/>
        </w:trPr>
        <w:tc>
          <w:tcPr>
            <w:tcW w:w="2223" w:type="dxa"/>
            <w:shd w:val="clear" w:color="auto" w:fill="auto"/>
            <w:vAlign w:val="center"/>
          </w:tcPr>
          <w:p w14:paraId="0A635D02" w14:textId="77777777" w:rsidR="00317E8B" w:rsidRPr="00816981" w:rsidRDefault="00317E8B" w:rsidP="00F41280">
            <w:pPr>
              <w:spacing w:after="0"/>
              <w:rPr>
                <w:rFonts w:ascii="12" w:hAnsi="12"/>
                <w:color w:val="000000"/>
              </w:rPr>
            </w:pPr>
            <w:r w:rsidRPr="00816981">
              <w:rPr>
                <w:rFonts w:ascii="12" w:hAnsi="12"/>
                <w:color w:val="000000"/>
              </w:rPr>
              <w:t>ITRA</w:t>
            </w:r>
          </w:p>
        </w:tc>
        <w:tc>
          <w:tcPr>
            <w:tcW w:w="6237" w:type="dxa"/>
            <w:shd w:val="clear" w:color="auto" w:fill="auto"/>
            <w:vAlign w:val="center"/>
          </w:tcPr>
          <w:p w14:paraId="20F3C50C" w14:textId="77777777" w:rsidR="00317E8B" w:rsidRPr="00816981" w:rsidRDefault="00317E8B" w:rsidP="00F41280">
            <w:pPr>
              <w:spacing w:after="0"/>
              <w:rPr>
                <w:rFonts w:ascii="12" w:hAnsi="12"/>
                <w:color w:val="000000"/>
              </w:rPr>
            </w:pPr>
            <w:r w:rsidRPr="00816981">
              <w:rPr>
                <w:rFonts w:ascii="12" w:hAnsi="12"/>
                <w:color w:val="000000"/>
              </w:rPr>
              <w:t>Income Tax Reimbursement Allowance</w:t>
            </w:r>
          </w:p>
        </w:tc>
      </w:tr>
      <w:tr w:rsidR="001258A4" w:rsidRPr="00816981" w14:paraId="4DEF5D3C" w14:textId="77777777" w:rsidTr="00DE2E6D">
        <w:trPr>
          <w:trHeight w:val="310"/>
        </w:trPr>
        <w:tc>
          <w:tcPr>
            <w:tcW w:w="2223" w:type="dxa"/>
            <w:shd w:val="clear" w:color="auto" w:fill="auto"/>
            <w:vAlign w:val="center"/>
          </w:tcPr>
          <w:p w14:paraId="6A50F5C5" w14:textId="77777777" w:rsidR="001258A4" w:rsidRPr="00816981" w:rsidRDefault="001258A4" w:rsidP="00F41280">
            <w:pPr>
              <w:spacing w:after="0"/>
              <w:rPr>
                <w:rFonts w:ascii="12" w:hAnsi="12"/>
                <w:color w:val="000000"/>
              </w:rPr>
            </w:pPr>
            <w:r w:rsidRPr="00816981">
              <w:rPr>
                <w:rFonts w:ascii="12" w:hAnsi="12"/>
                <w:color w:val="000000"/>
              </w:rPr>
              <w:t>M&amp;IE</w:t>
            </w:r>
          </w:p>
        </w:tc>
        <w:tc>
          <w:tcPr>
            <w:tcW w:w="6237" w:type="dxa"/>
            <w:shd w:val="clear" w:color="auto" w:fill="auto"/>
            <w:vAlign w:val="center"/>
          </w:tcPr>
          <w:p w14:paraId="3EF16653" w14:textId="77777777" w:rsidR="001258A4" w:rsidRPr="00816981" w:rsidRDefault="001258A4" w:rsidP="00F41280">
            <w:pPr>
              <w:spacing w:after="0"/>
              <w:rPr>
                <w:rFonts w:ascii="12" w:hAnsi="12"/>
                <w:color w:val="000000"/>
              </w:rPr>
            </w:pPr>
            <w:r w:rsidRPr="00816981">
              <w:rPr>
                <w:rFonts w:ascii="12" w:hAnsi="12"/>
                <w:color w:val="000000"/>
              </w:rPr>
              <w:t>Meals and Incidental Expenses</w:t>
            </w:r>
          </w:p>
        </w:tc>
      </w:tr>
      <w:tr w:rsidR="001258A4" w:rsidRPr="00816981" w14:paraId="2DD051D5" w14:textId="77777777" w:rsidTr="00DE2E6D">
        <w:trPr>
          <w:trHeight w:val="310"/>
        </w:trPr>
        <w:tc>
          <w:tcPr>
            <w:tcW w:w="2223" w:type="dxa"/>
            <w:shd w:val="clear" w:color="auto" w:fill="auto"/>
            <w:vAlign w:val="center"/>
            <w:hideMark/>
          </w:tcPr>
          <w:p w14:paraId="72D8B3E4" w14:textId="77777777" w:rsidR="001258A4" w:rsidRPr="00816981" w:rsidRDefault="001258A4" w:rsidP="00F41280">
            <w:pPr>
              <w:spacing w:after="0"/>
              <w:rPr>
                <w:rFonts w:ascii="12" w:hAnsi="12"/>
                <w:color w:val="000000"/>
              </w:rPr>
            </w:pPr>
            <w:r w:rsidRPr="00816981">
              <w:rPr>
                <w:rFonts w:ascii="12" w:hAnsi="12"/>
                <w:color w:val="000000"/>
              </w:rPr>
              <w:t>NASA</w:t>
            </w:r>
          </w:p>
        </w:tc>
        <w:tc>
          <w:tcPr>
            <w:tcW w:w="6237" w:type="dxa"/>
            <w:shd w:val="clear" w:color="auto" w:fill="auto"/>
            <w:vAlign w:val="center"/>
            <w:hideMark/>
          </w:tcPr>
          <w:p w14:paraId="7E7A1DA5" w14:textId="77777777" w:rsidR="001258A4" w:rsidRPr="00816981" w:rsidRDefault="001258A4" w:rsidP="00F41280">
            <w:pPr>
              <w:spacing w:after="0"/>
              <w:rPr>
                <w:rFonts w:ascii="12" w:hAnsi="12"/>
                <w:color w:val="000000"/>
              </w:rPr>
            </w:pPr>
            <w:r w:rsidRPr="00816981">
              <w:rPr>
                <w:rFonts w:ascii="12" w:hAnsi="12"/>
                <w:color w:val="000000"/>
              </w:rPr>
              <w:t>National Aeronautics and Space Administration</w:t>
            </w:r>
          </w:p>
        </w:tc>
      </w:tr>
      <w:tr w:rsidR="000E19E5" w:rsidRPr="00816981" w14:paraId="77E644F4" w14:textId="77777777" w:rsidTr="00DE2E6D">
        <w:trPr>
          <w:trHeight w:val="310"/>
        </w:trPr>
        <w:tc>
          <w:tcPr>
            <w:tcW w:w="2223" w:type="dxa"/>
            <w:shd w:val="clear" w:color="auto" w:fill="auto"/>
            <w:vAlign w:val="center"/>
          </w:tcPr>
          <w:p w14:paraId="2BE01AD8" w14:textId="77777777" w:rsidR="000E19E5" w:rsidRPr="00816981" w:rsidRDefault="000E19E5" w:rsidP="00F41280">
            <w:pPr>
              <w:spacing w:after="0"/>
              <w:rPr>
                <w:rFonts w:ascii="12" w:hAnsi="12"/>
                <w:color w:val="000000"/>
              </w:rPr>
            </w:pPr>
            <w:r w:rsidRPr="00816981">
              <w:rPr>
                <w:rFonts w:ascii="12" w:hAnsi="12"/>
                <w:color w:val="000000"/>
              </w:rPr>
              <w:t>NPD</w:t>
            </w:r>
          </w:p>
        </w:tc>
        <w:tc>
          <w:tcPr>
            <w:tcW w:w="6237" w:type="dxa"/>
            <w:shd w:val="clear" w:color="auto" w:fill="auto"/>
            <w:vAlign w:val="center"/>
          </w:tcPr>
          <w:p w14:paraId="4F72885D" w14:textId="77777777" w:rsidR="000E19E5" w:rsidRPr="00816981" w:rsidRDefault="000E19E5" w:rsidP="00F41280">
            <w:pPr>
              <w:spacing w:after="0"/>
              <w:rPr>
                <w:rFonts w:ascii="12" w:hAnsi="12"/>
                <w:color w:val="000000"/>
              </w:rPr>
            </w:pPr>
            <w:r w:rsidRPr="00816981">
              <w:rPr>
                <w:rFonts w:ascii="12" w:hAnsi="12"/>
                <w:color w:val="000000"/>
              </w:rPr>
              <w:t>NASA Policy Directive</w:t>
            </w:r>
          </w:p>
        </w:tc>
      </w:tr>
      <w:tr w:rsidR="001258A4" w:rsidRPr="00816981" w14:paraId="3E3A080A" w14:textId="77777777" w:rsidTr="00DE2E6D">
        <w:trPr>
          <w:trHeight w:val="310"/>
        </w:trPr>
        <w:tc>
          <w:tcPr>
            <w:tcW w:w="2223" w:type="dxa"/>
            <w:shd w:val="clear" w:color="auto" w:fill="auto"/>
            <w:vAlign w:val="center"/>
            <w:hideMark/>
          </w:tcPr>
          <w:p w14:paraId="57F0376E" w14:textId="77777777" w:rsidR="001258A4" w:rsidRPr="00816981" w:rsidRDefault="001258A4" w:rsidP="00F41280">
            <w:pPr>
              <w:spacing w:after="0"/>
              <w:rPr>
                <w:rFonts w:ascii="12" w:hAnsi="12"/>
                <w:color w:val="000000"/>
              </w:rPr>
            </w:pPr>
            <w:r w:rsidRPr="00816981">
              <w:rPr>
                <w:rFonts w:ascii="12" w:hAnsi="12"/>
                <w:color w:val="000000"/>
              </w:rPr>
              <w:t>NPR</w:t>
            </w:r>
          </w:p>
        </w:tc>
        <w:tc>
          <w:tcPr>
            <w:tcW w:w="6237" w:type="dxa"/>
            <w:shd w:val="clear" w:color="auto" w:fill="auto"/>
            <w:vAlign w:val="center"/>
            <w:hideMark/>
          </w:tcPr>
          <w:p w14:paraId="358B5B4A" w14:textId="77777777" w:rsidR="001258A4" w:rsidRPr="00816981" w:rsidRDefault="001258A4" w:rsidP="00D5504C">
            <w:pPr>
              <w:spacing w:after="0"/>
              <w:rPr>
                <w:rFonts w:ascii="12" w:hAnsi="12"/>
                <w:color w:val="000000"/>
              </w:rPr>
            </w:pPr>
            <w:r w:rsidRPr="00816981">
              <w:rPr>
                <w:rFonts w:ascii="12" w:hAnsi="12"/>
                <w:color w:val="000000"/>
              </w:rPr>
              <w:t xml:space="preserve">NASA </w:t>
            </w:r>
            <w:r w:rsidR="00D5504C">
              <w:rPr>
                <w:rFonts w:ascii="12" w:hAnsi="12"/>
                <w:color w:val="000000"/>
              </w:rPr>
              <w:t>P</w:t>
            </w:r>
            <w:r w:rsidR="00D5504C" w:rsidRPr="00816981">
              <w:rPr>
                <w:rFonts w:ascii="12" w:hAnsi="12"/>
                <w:color w:val="000000"/>
              </w:rPr>
              <w:t xml:space="preserve">rocedural </w:t>
            </w:r>
            <w:r w:rsidRPr="00816981">
              <w:rPr>
                <w:rFonts w:ascii="12" w:hAnsi="12"/>
                <w:color w:val="000000"/>
              </w:rPr>
              <w:t>Requirements</w:t>
            </w:r>
          </w:p>
        </w:tc>
      </w:tr>
      <w:tr w:rsidR="001258A4" w:rsidRPr="00816981" w14:paraId="3CA988B9" w14:textId="77777777" w:rsidTr="00DE2E6D">
        <w:trPr>
          <w:trHeight w:val="310"/>
        </w:trPr>
        <w:tc>
          <w:tcPr>
            <w:tcW w:w="2223" w:type="dxa"/>
            <w:shd w:val="clear" w:color="auto" w:fill="auto"/>
            <w:vAlign w:val="center"/>
            <w:hideMark/>
          </w:tcPr>
          <w:p w14:paraId="53533F86" w14:textId="77777777" w:rsidR="001258A4" w:rsidRPr="00816981" w:rsidRDefault="001258A4" w:rsidP="00F41280">
            <w:pPr>
              <w:spacing w:after="0"/>
              <w:rPr>
                <w:rFonts w:ascii="12" w:hAnsi="12"/>
                <w:color w:val="000000"/>
              </w:rPr>
            </w:pPr>
            <w:r w:rsidRPr="00816981">
              <w:rPr>
                <w:rFonts w:ascii="12" w:hAnsi="12"/>
                <w:color w:val="000000"/>
              </w:rPr>
              <w:t>NSSC</w:t>
            </w:r>
          </w:p>
        </w:tc>
        <w:tc>
          <w:tcPr>
            <w:tcW w:w="6237" w:type="dxa"/>
            <w:shd w:val="clear" w:color="auto" w:fill="auto"/>
            <w:vAlign w:val="center"/>
            <w:hideMark/>
          </w:tcPr>
          <w:p w14:paraId="3BB8D3FE" w14:textId="77777777" w:rsidR="001258A4" w:rsidRPr="00816981" w:rsidRDefault="001258A4" w:rsidP="00F41280">
            <w:pPr>
              <w:spacing w:after="0"/>
              <w:rPr>
                <w:rFonts w:ascii="12" w:hAnsi="12"/>
                <w:color w:val="000000"/>
              </w:rPr>
            </w:pPr>
            <w:r w:rsidRPr="00816981">
              <w:rPr>
                <w:rFonts w:ascii="12" w:hAnsi="12"/>
                <w:color w:val="000000"/>
              </w:rPr>
              <w:t>NASA Shared Services Center</w:t>
            </w:r>
          </w:p>
        </w:tc>
      </w:tr>
      <w:tr w:rsidR="00DF393A" w:rsidRPr="00816981" w14:paraId="045FA276" w14:textId="77777777" w:rsidTr="00DE2E6D">
        <w:trPr>
          <w:trHeight w:val="310"/>
        </w:trPr>
        <w:tc>
          <w:tcPr>
            <w:tcW w:w="2223" w:type="dxa"/>
            <w:shd w:val="clear" w:color="auto" w:fill="auto"/>
            <w:vAlign w:val="center"/>
          </w:tcPr>
          <w:p w14:paraId="4EEEE5B1" w14:textId="77777777" w:rsidR="00DF393A" w:rsidRPr="00816981" w:rsidRDefault="00DF393A" w:rsidP="00F41280">
            <w:pPr>
              <w:spacing w:after="0"/>
              <w:rPr>
                <w:rFonts w:ascii="12" w:hAnsi="12"/>
                <w:color w:val="000000"/>
              </w:rPr>
            </w:pPr>
            <w:r w:rsidRPr="00816981">
              <w:rPr>
                <w:rFonts w:ascii="12" w:hAnsi="12"/>
                <w:color w:val="000000"/>
              </w:rPr>
              <w:t>OIC</w:t>
            </w:r>
          </w:p>
        </w:tc>
        <w:tc>
          <w:tcPr>
            <w:tcW w:w="6237" w:type="dxa"/>
            <w:shd w:val="clear" w:color="auto" w:fill="auto"/>
            <w:vAlign w:val="center"/>
          </w:tcPr>
          <w:p w14:paraId="3DEE91E4" w14:textId="77777777" w:rsidR="00DF393A" w:rsidRPr="00816981" w:rsidRDefault="00DF393A" w:rsidP="00F41280">
            <w:pPr>
              <w:spacing w:after="0"/>
              <w:rPr>
                <w:rFonts w:ascii="12" w:hAnsi="12"/>
                <w:color w:val="000000"/>
              </w:rPr>
            </w:pPr>
            <w:r w:rsidRPr="00816981">
              <w:rPr>
                <w:rFonts w:ascii="12" w:hAnsi="12"/>
                <w:color w:val="000000"/>
              </w:rPr>
              <w:t>Official</w:t>
            </w:r>
            <w:r w:rsidR="00D5504C">
              <w:rPr>
                <w:rFonts w:ascii="12" w:hAnsi="12"/>
                <w:color w:val="000000"/>
              </w:rPr>
              <w:t>-</w:t>
            </w:r>
            <w:r w:rsidRPr="00816981">
              <w:rPr>
                <w:rFonts w:ascii="12" w:hAnsi="12"/>
                <w:color w:val="000000"/>
              </w:rPr>
              <w:t>in</w:t>
            </w:r>
            <w:r w:rsidR="00D5504C">
              <w:rPr>
                <w:rFonts w:ascii="12" w:hAnsi="12"/>
                <w:color w:val="000000"/>
              </w:rPr>
              <w:t>-</w:t>
            </w:r>
            <w:r w:rsidRPr="00816981">
              <w:rPr>
                <w:rFonts w:ascii="12" w:hAnsi="12"/>
                <w:color w:val="000000"/>
              </w:rPr>
              <w:t>Charge</w:t>
            </w:r>
          </w:p>
        </w:tc>
      </w:tr>
      <w:tr w:rsidR="001258A4" w:rsidRPr="00816981" w14:paraId="0546B2C8" w14:textId="77777777" w:rsidTr="00DE2E6D">
        <w:trPr>
          <w:trHeight w:val="310"/>
        </w:trPr>
        <w:tc>
          <w:tcPr>
            <w:tcW w:w="2223" w:type="dxa"/>
            <w:shd w:val="clear" w:color="auto" w:fill="auto"/>
            <w:vAlign w:val="center"/>
            <w:hideMark/>
          </w:tcPr>
          <w:p w14:paraId="63E8390B" w14:textId="77777777" w:rsidR="001258A4" w:rsidRPr="00816981" w:rsidRDefault="001258A4" w:rsidP="00F41280">
            <w:pPr>
              <w:spacing w:after="0"/>
              <w:rPr>
                <w:rFonts w:ascii="12" w:hAnsi="12"/>
                <w:color w:val="000000"/>
              </w:rPr>
            </w:pPr>
            <w:r w:rsidRPr="00816981">
              <w:rPr>
                <w:rFonts w:ascii="12" w:hAnsi="12"/>
                <w:color w:val="000000"/>
              </w:rPr>
              <w:t>OCFO</w:t>
            </w:r>
          </w:p>
        </w:tc>
        <w:tc>
          <w:tcPr>
            <w:tcW w:w="6237" w:type="dxa"/>
            <w:shd w:val="clear" w:color="auto" w:fill="auto"/>
            <w:vAlign w:val="center"/>
            <w:hideMark/>
          </w:tcPr>
          <w:p w14:paraId="5EE15354" w14:textId="77777777" w:rsidR="001258A4" w:rsidRPr="00816981" w:rsidRDefault="001258A4" w:rsidP="00F41280">
            <w:pPr>
              <w:spacing w:after="0"/>
              <w:rPr>
                <w:rFonts w:ascii="12" w:hAnsi="12"/>
                <w:color w:val="000000"/>
              </w:rPr>
            </w:pPr>
            <w:r w:rsidRPr="00816981">
              <w:rPr>
                <w:rFonts w:ascii="12" w:hAnsi="12"/>
                <w:color w:val="000000"/>
              </w:rPr>
              <w:t>Office of the Chief Financial Officer</w:t>
            </w:r>
          </w:p>
        </w:tc>
      </w:tr>
      <w:tr w:rsidR="001258A4" w:rsidRPr="00816981" w14:paraId="51E8F297" w14:textId="77777777" w:rsidTr="00DE2E6D">
        <w:trPr>
          <w:trHeight w:val="310"/>
        </w:trPr>
        <w:tc>
          <w:tcPr>
            <w:tcW w:w="2223" w:type="dxa"/>
            <w:shd w:val="clear" w:color="auto" w:fill="auto"/>
            <w:vAlign w:val="center"/>
            <w:hideMark/>
          </w:tcPr>
          <w:p w14:paraId="04456067" w14:textId="77777777" w:rsidR="001258A4" w:rsidRPr="00816981" w:rsidRDefault="001258A4" w:rsidP="00F41280">
            <w:pPr>
              <w:spacing w:after="0"/>
              <w:rPr>
                <w:rFonts w:ascii="12" w:hAnsi="12"/>
                <w:color w:val="000000"/>
              </w:rPr>
            </w:pPr>
            <w:r w:rsidRPr="00816981">
              <w:rPr>
                <w:rFonts w:ascii="12" w:hAnsi="12"/>
                <w:color w:val="000000"/>
              </w:rPr>
              <w:t>PCS</w:t>
            </w:r>
          </w:p>
        </w:tc>
        <w:tc>
          <w:tcPr>
            <w:tcW w:w="6237" w:type="dxa"/>
            <w:shd w:val="clear" w:color="auto" w:fill="auto"/>
            <w:vAlign w:val="center"/>
            <w:hideMark/>
          </w:tcPr>
          <w:p w14:paraId="748FF64E" w14:textId="77777777" w:rsidR="001258A4" w:rsidRPr="00816981" w:rsidRDefault="001258A4" w:rsidP="00F41280">
            <w:pPr>
              <w:spacing w:after="0"/>
              <w:rPr>
                <w:rFonts w:ascii="12" w:hAnsi="12"/>
                <w:color w:val="000000"/>
              </w:rPr>
            </w:pPr>
            <w:r w:rsidRPr="00816981">
              <w:rPr>
                <w:rFonts w:ascii="12" w:hAnsi="12"/>
                <w:color w:val="000000"/>
              </w:rPr>
              <w:t>Permanent Change of Station</w:t>
            </w:r>
          </w:p>
        </w:tc>
      </w:tr>
      <w:tr w:rsidR="001258A4" w:rsidRPr="00816981" w14:paraId="05304C99" w14:textId="77777777" w:rsidTr="00DE2E6D">
        <w:trPr>
          <w:trHeight w:val="310"/>
        </w:trPr>
        <w:tc>
          <w:tcPr>
            <w:tcW w:w="2223" w:type="dxa"/>
            <w:shd w:val="clear" w:color="auto" w:fill="auto"/>
            <w:vAlign w:val="center"/>
            <w:hideMark/>
          </w:tcPr>
          <w:p w14:paraId="70AF6631" w14:textId="77777777" w:rsidR="001258A4" w:rsidRPr="00816981" w:rsidRDefault="001258A4" w:rsidP="00F41280">
            <w:pPr>
              <w:spacing w:after="0"/>
              <w:rPr>
                <w:rFonts w:ascii="12" w:hAnsi="12"/>
                <w:color w:val="000000"/>
              </w:rPr>
            </w:pPr>
            <w:r w:rsidRPr="00816981">
              <w:rPr>
                <w:rFonts w:ascii="12" w:hAnsi="12"/>
                <w:color w:val="000000"/>
              </w:rPr>
              <w:t>PDS</w:t>
            </w:r>
          </w:p>
        </w:tc>
        <w:tc>
          <w:tcPr>
            <w:tcW w:w="6237" w:type="dxa"/>
            <w:shd w:val="clear" w:color="auto" w:fill="auto"/>
            <w:vAlign w:val="center"/>
            <w:hideMark/>
          </w:tcPr>
          <w:p w14:paraId="13F04FC1" w14:textId="77777777" w:rsidR="001258A4" w:rsidRPr="00816981" w:rsidRDefault="001258A4" w:rsidP="00F41280">
            <w:pPr>
              <w:spacing w:after="0"/>
              <w:rPr>
                <w:rFonts w:ascii="12" w:hAnsi="12"/>
                <w:color w:val="000000"/>
              </w:rPr>
            </w:pPr>
            <w:r w:rsidRPr="00816981">
              <w:rPr>
                <w:rFonts w:ascii="12" w:hAnsi="12"/>
                <w:color w:val="000000"/>
              </w:rPr>
              <w:t>Permanent Duty Station</w:t>
            </w:r>
          </w:p>
        </w:tc>
      </w:tr>
      <w:tr w:rsidR="001258A4" w:rsidRPr="00816981" w14:paraId="4F40C054" w14:textId="77777777" w:rsidTr="00DE2E6D">
        <w:trPr>
          <w:trHeight w:val="310"/>
        </w:trPr>
        <w:tc>
          <w:tcPr>
            <w:tcW w:w="2223" w:type="dxa"/>
            <w:shd w:val="clear" w:color="auto" w:fill="auto"/>
            <w:vAlign w:val="center"/>
            <w:hideMark/>
          </w:tcPr>
          <w:p w14:paraId="28F746E0" w14:textId="77777777" w:rsidR="001258A4" w:rsidRPr="00816981" w:rsidRDefault="001258A4" w:rsidP="00F41280">
            <w:pPr>
              <w:spacing w:after="0"/>
              <w:rPr>
                <w:rFonts w:ascii="12" w:hAnsi="12"/>
                <w:color w:val="000000"/>
              </w:rPr>
            </w:pPr>
            <w:r w:rsidRPr="00816981">
              <w:rPr>
                <w:rFonts w:ascii="12" w:hAnsi="12"/>
                <w:color w:val="000000"/>
              </w:rPr>
              <w:t>POV</w:t>
            </w:r>
          </w:p>
        </w:tc>
        <w:tc>
          <w:tcPr>
            <w:tcW w:w="6237" w:type="dxa"/>
            <w:shd w:val="clear" w:color="auto" w:fill="auto"/>
            <w:vAlign w:val="center"/>
            <w:hideMark/>
          </w:tcPr>
          <w:p w14:paraId="3166C92E" w14:textId="77777777" w:rsidR="001258A4" w:rsidRPr="00816981" w:rsidRDefault="001258A4" w:rsidP="00F41280">
            <w:pPr>
              <w:spacing w:after="0"/>
              <w:rPr>
                <w:rFonts w:ascii="12" w:hAnsi="12"/>
                <w:color w:val="000000"/>
              </w:rPr>
            </w:pPr>
            <w:r w:rsidRPr="00816981">
              <w:rPr>
                <w:rFonts w:ascii="12" w:hAnsi="12"/>
                <w:color w:val="000000"/>
              </w:rPr>
              <w:t>Privately Owned Vehicle</w:t>
            </w:r>
          </w:p>
        </w:tc>
      </w:tr>
      <w:tr w:rsidR="001258A4" w:rsidRPr="00816981" w14:paraId="369CBCA3" w14:textId="77777777" w:rsidTr="00DE2E6D">
        <w:trPr>
          <w:trHeight w:val="310"/>
        </w:trPr>
        <w:tc>
          <w:tcPr>
            <w:tcW w:w="2223" w:type="dxa"/>
            <w:shd w:val="clear" w:color="auto" w:fill="auto"/>
            <w:vAlign w:val="center"/>
            <w:hideMark/>
          </w:tcPr>
          <w:p w14:paraId="021F2F76" w14:textId="77777777" w:rsidR="001258A4" w:rsidRPr="00816981" w:rsidRDefault="001258A4" w:rsidP="00F41280">
            <w:pPr>
              <w:spacing w:after="0"/>
              <w:rPr>
                <w:rFonts w:ascii="12" w:hAnsi="12"/>
                <w:color w:val="000000"/>
              </w:rPr>
            </w:pPr>
            <w:r w:rsidRPr="00816981">
              <w:rPr>
                <w:rFonts w:ascii="12" w:hAnsi="12"/>
                <w:color w:val="000000"/>
              </w:rPr>
              <w:t>TCS</w:t>
            </w:r>
          </w:p>
        </w:tc>
        <w:tc>
          <w:tcPr>
            <w:tcW w:w="6237" w:type="dxa"/>
            <w:shd w:val="clear" w:color="auto" w:fill="auto"/>
            <w:vAlign w:val="center"/>
            <w:hideMark/>
          </w:tcPr>
          <w:p w14:paraId="016C6649" w14:textId="77777777" w:rsidR="001258A4" w:rsidRPr="00816981" w:rsidRDefault="001258A4" w:rsidP="00F41280">
            <w:pPr>
              <w:spacing w:after="0"/>
              <w:rPr>
                <w:rFonts w:ascii="12" w:hAnsi="12"/>
                <w:color w:val="000000"/>
              </w:rPr>
            </w:pPr>
            <w:r w:rsidRPr="00816981">
              <w:rPr>
                <w:rFonts w:ascii="12" w:hAnsi="12"/>
                <w:color w:val="000000"/>
              </w:rPr>
              <w:t>Temporary Change of Station</w:t>
            </w:r>
          </w:p>
        </w:tc>
      </w:tr>
      <w:tr w:rsidR="00946C38" w:rsidRPr="00816981" w14:paraId="2FCA1D7E" w14:textId="77777777" w:rsidTr="00DE2E6D">
        <w:trPr>
          <w:trHeight w:val="310"/>
        </w:trPr>
        <w:tc>
          <w:tcPr>
            <w:tcW w:w="2223" w:type="dxa"/>
            <w:shd w:val="clear" w:color="auto" w:fill="auto"/>
            <w:vAlign w:val="center"/>
          </w:tcPr>
          <w:p w14:paraId="78E1B2DE" w14:textId="0147FEE0" w:rsidR="00946C38" w:rsidRPr="00816981" w:rsidRDefault="00946C38" w:rsidP="00F41280">
            <w:pPr>
              <w:spacing w:after="0"/>
              <w:rPr>
                <w:rFonts w:ascii="12" w:hAnsi="12"/>
                <w:color w:val="000000"/>
              </w:rPr>
            </w:pPr>
            <w:r>
              <w:rPr>
                <w:rFonts w:ascii="12" w:hAnsi="12"/>
                <w:color w:val="000000"/>
              </w:rPr>
              <w:t>TDY</w:t>
            </w:r>
          </w:p>
        </w:tc>
        <w:tc>
          <w:tcPr>
            <w:tcW w:w="6237" w:type="dxa"/>
            <w:shd w:val="clear" w:color="auto" w:fill="auto"/>
            <w:vAlign w:val="center"/>
          </w:tcPr>
          <w:p w14:paraId="0597E8C9" w14:textId="4A4D59FE" w:rsidR="00946C38" w:rsidRPr="00816981" w:rsidRDefault="00946C38" w:rsidP="00F41280">
            <w:pPr>
              <w:spacing w:after="0"/>
              <w:rPr>
                <w:rFonts w:ascii="12" w:hAnsi="12"/>
                <w:color w:val="000000"/>
              </w:rPr>
            </w:pPr>
            <w:r>
              <w:rPr>
                <w:rFonts w:ascii="12" w:hAnsi="12"/>
                <w:color w:val="000000"/>
              </w:rPr>
              <w:t>Temporary Duty Travel</w:t>
            </w:r>
          </w:p>
        </w:tc>
      </w:tr>
      <w:tr w:rsidR="001258A4" w:rsidRPr="00BB0300" w14:paraId="05A1AA01" w14:textId="77777777" w:rsidTr="00DE2E6D">
        <w:trPr>
          <w:trHeight w:val="310"/>
        </w:trPr>
        <w:tc>
          <w:tcPr>
            <w:tcW w:w="2223" w:type="dxa"/>
            <w:shd w:val="clear" w:color="auto" w:fill="auto"/>
            <w:vAlign w:val="center"/>
            <w:hideMark/>
          </w:tcPr>
          <w:p w14:paraId="35FD99F1" w14:textId="77777777" w:rsidR="001258A4" w:rsidRPr="00816981" w:rsidRDefault="001258A4" w:rsidP="00F41280">
            <w:pPr>
              <w:spacing w:after="0"/>
              <w:rPr>
                <w:rFonts w:ascii="12" w:hAnsi="12"/>
                <w:color w:val="000000"/>
              </w:rPr>
            </w:pPr>
            <w:r w:rsidRPr="00816981">
              <w:rPr>
                <w:rFonts w:ascii="12" w:hAnsi="12"/>
                <w:color w:val="000000"/>
              </w:rPr>
              <w:t xml:space="preserve">USC </w:t>
            </w:r>
          </w:p>
        </w:tc>
        <w:tc>
          <w:tcPr>
            <w:tcW w:w="6237" w:type="dxa"/>
            <w:shd w:val="clear" w:color="auto" w:fill="auto"/>
            <w:vAlign w:val="center"/>
            <w:hideMark/>
          </w:tcPr>
          <w:p w14:paraId="5D078C63" w14:textId="77777777" w:rsidR="001258A4" w:rsidRPr="00BB0300" w:rsidRDefault="001258A4" w:rsidP="00F41280">
            <w:pPr>
              <w:spacing w:after="0"/>
              <w:rPr>
                <w:rFonts w:ascii="12" w:hAnsi="12"/>
                <w:color w:val="000000"/>
              </w:rPr>
            </w:pPr>
            <w:r w:rsidRPr="00816981">
              <w:rPr>
                <w:rFonts w:ascii="12" w:hAnsi="12"/>
                <w:color w:val="000000"/>
              </w:rPr>
              <w:t>United States Code</w:t>
            </w:r>
          </w:p>
        </w:tc>
      </w:tr>
    </w:tbl>
    <w:p w14:paraId="26039B64" w14:textId="77777777" w:rsidR="001258A4" w:rsidRPr="004752EA" w:rsidRDefault="001258A4" w:rsidP="001258A4">
      <w:pPr>
        <w:pStyle w:val="Appendix1"/>
        <w:numPr>
          <w:ilvl w:val="0"/>
          <w:numId w:val="0"/>
        </w:numPr>
      </w:pPr>
    </w:p>
    <w:sectPr w:rsidR="001258A4" w:rsidRPr="004752EA" w:rsidSect="004752EA">
      <w:headerReference w:type="even" r:id="rId12"/>
      <w:headerReference w:type="default" r:id="rId13"/>
      <w:headerReference w:type="first" r:id="rId14"/>
      <w:pgSz w:w="12240" w:h="15840"/>
      <w:pgMar w:top="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3A9E" w14:textId="77777777" w:rsidR="0078427D" w:rsidRDefault="0078427D" w:rsidP="00166694">
      <w:pPr>
        <w:spacing w:after="0" w:line="240" w:lineRule="auto"/>
      </w:pPr>
      <w:r>
        <w:separator/>
      </w:r>
    </w:p>
  </w:endnote>
  <w:endnote w:type="continuationSeparator" w:id="0">
    <w:p w14:paraId="5816B255" w14:textId="77777777" w:rsidR="0078427D" w:rsidRDefault="0078427D" w:rsidP="0016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68659"/>
      <w:docPartObj>
        <w:docPartGallery w:val="Page Numbers (Bottom of Page)"/>
        <w:docPartUnique/>
      </w:docPartObj>
    </w:sdtPr>
    <w:sdtEndPr>
      <w:rPr>
        <w:noProof/>
      </w:rPr>
    </w:sdtEndPr>
    <w:sdtContent>
      <w:p w14:paraId="6AD3DF01" w14:textId="6C49DDAC" w:rsidR="00A936E4" w:rsidRDefault="00A936E4">
        <w:pPr>
          <w:pStyle w:val="Footer"/>
          <w:jc w:val="right"/>
        </w:pPr>
        <w:r>
          <w:fldChar w:fldCharType="begin"/>
        </w:r>
        <w:r>
          <w:instrText xml:space="preserve"> PAGE   \* MERGEFORMAT </w:instrText>
        </w:r>
        <w:r>
          <w:fldChar w:fldCharType="separate"/>
        </w:r>
        <w:r w:rsidR="00C60DC9">
          <w:rPr>
            <w:noProof/>
          </w:rPr>
          <w:t>2</w:t>
        </w:r>
        <w:r>
          <w:rPr>
            <w:noProof/>
          </w:rPr>
          <w:fldChar w:fldCharType="end"/>
        </w:r>
      </w:p>
    </w:sdtContent>
  </w:sdt>
  <w:p w14:paraId="5D1F0A52" w14:textId="77777777" w:rsidR="00A936E4" w:rsidRPr="00B70D5F" w:rsidRDefault="00A936E4" w:rsidP="00644267">
    <w:pPr>
      <w:pStyle w:val="Footer"/>
      <w:ind w:left="-990" w:hanging="9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019D" w14:textId="77777777" w:rsidR="0078427D" w:rsidRDefault="0078427D" w:rsidP="00166694">
      <w:pPr>
        <w:spacing w:after="0" w:line="240" w:lineRule="auto"/>
      </w:pPr>
      <w:r>
        <w:separator/>
      </w:r>
    </w:p>
  </w:footnote>
  <w:footnote w:type="continuationSeparator" w:id="0">
    <w:p w14:paraId="44D5EB25" w14:textId="77777777" w:rsidR="0078427D" w:rsidRDefault="0078427D" w:rsidP="0016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800F" w14:textId="77777777" w:rsidR="00A936E4" w:rsidRDefault="00A93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49C" w14:textId="77777777" w:rsidR="00A936E4" w:rsidRDefault="00A93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6CE2" w14:textId="77777777" w:rsidR="00A936E4" w:rsidRDefault="00A93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5E"/>
    <w:multiLevelType w:val="multilevel"/>
    <w:tmpl w:val="99887D6A"/>
    <w:styleLink w:val="Style1"/>
    <w:lvl w:ilvl="0">
      <w:start w:val="1"/>
      <w:numFmt w:val="lowerLetter"/>
      <w:suff w:val="space"/>
      <w:lvlText w:val="%1."/>
      <w:lvlJc w:val="left"/>
      <w:rPr>
        <w:rFonts w:cs="Times New Roman" w:hint="default"/>
      </w:rPr>
    </w:lvl>
    <w:lvl w:ilvl="1">
      <w:start w:val="1"/>
      <w:numFmt w:val="decimal"/>
      <w:suff w:val="space"/>
      <w:lvlText w:val="(%2)"/>
      <w:lvlJc w:val="left"/>
      <w:rPr>
        <w:rFonts w:cs="Times New Roman" w:hint="default"/>
      </w:rPr>
    </w:lvl>
    <w:lvl w:ilvl="2">
      <w:start w:val="1"/>
      <w:numFmt w:val="lowerLetter"/>
      <w:suff w:val="space"/>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 w15:restartNumberingAfterBreak="0">
    <w:nsid w:val="0B49299A"/>
    <w:multiLevelType w:val="hybridMultilevel"/>
    <w:tmpl w:val="AEB4C130"/>
    <w:lvl w:ilvl="0" w:tplc="E4ECD61E">
      <w:start w:val="1"/>
      <w:numFmt w:val="lowerLetter"/>
      <w:pStyle w:val="NPRList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A5637"/>
    <w:multiLevelType w:val="multilevel"/>
    <w:tmpl w:val="07AA64AA"/>
    <w:lvl w:ilvl="0">
      <w:start w:val="1"/>
      <w:numFmt w:val="upperLetter"/>
      <w:pStyle w:val="Appendix1"/>
      <w:suff w:val="space"/>
      <w:lvlText w:val="APPENDIX %1."/>
      <w:lvlJc w:val="left"/>
      <w:rPr>
        <w:rFonts w:cs="Times New Roman" w:hint="default"/>
        <w:sz w:val="24"/>
        <w:szCs w:val="24"/>
      </w:rPr>
    </w:lvl>
    <w:lvl w:ilvl="1">
      <w:start w:val="1"/>
      <w:numFmt w:val="decimal"/>
      <w:pStyle w:val="Appendix2"/>
      <w:suff w:val="space"/>
      <w:lvlText w:val="%1.%2"/>
      <w:lvlJc w:val="left"/>
      <w:rPr>
        <w:rFonts w:cs="Times New Roman" w:hint="default"/>
      </w:rPr>
    </w:lvl>
    <w:lvl w:ilvl="2">
      <w:start w:val="1"/>
      <w:numFmt w:val="decimal"/>
      <w:pStyle w:val="Appendix3"/>
      <w:lvlText w:val="%1.%2.%3"/>
      <w:lvlJc w:val="left"/>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31B5172F"/>
    <w:multiLevelType w:val="multilevel"/>
    <w:tmpl w:val="7ED2B2EA"/>
    <w:lvl w:ilvl="0">
      <w:start w:val="1"/>
      <w:numFmt w:val="decimal"/>
      <w:pStyle w:val="NPR1"/>
      <w:lvlText w:val="Chapter %1."/>
      <w:lvlJc w:val="left"/>
      <w:pPr>
        <w:tabs>
          <w:tab w:val="num" w:pos="360"/>
        </w:tabs>
      </w:pPr>
      <w:rPr>
        <w:rFonts w:cs="Times New Roman" w:hint="default"/>
      </w:rPr>
    </w:lvl>
    <w:lvl w:ilvl="1">
      <w:start w:val="1"/>
      <w:numFmt w:val="decimal"/>
      <w:lvlText w:val="%1.%2"/>
      <w:lvlJc w:val="left"/>
      <w:pPr>
        <w:tabs>
          <w:tab w:val="num" w:pos="360"/>
        </w:tabs>
        <w:ind w:left="855" w:hanging="495"/>
      </w:pPr>
      <w:rPr>
        <w:rFonts w:cs="Times New Roman" w:hint="default"/>
      </w:rPr>
    </w:lvl>
    <w:lvl w:ilvl="2">
      <w:start w:val="1"/>
      <w:numFmt w:val="decimal"/>
      <w:lvlText w:val="%1.%2.%3"/>
      <w:lvlJc w:val="left"/>
      <w:pPr>
        <w:tabs>
          <w:tab w:val="num" w:pos="360"/>
        </w:tabs>
      </w:pPr>
      <w:rPr>
        <w:rFonts w:cs="Times New Roman" w:hint="default"/>
      </w:rPr>
    </w:lvl>
    <w:lvl w:ilvl="3">
      <w:start w:val="1"/>
      <w:numFmt w:val="decimal"/>
      <w:lvlText w:val="%1.%2.%3.%4"/>
      <w:lvlJc w:val="left"/>
      <w:pPr>
        <w:tabs>
          <w:tab w:val="num" w:pos="-31680"/>
        </w:tabs>
      </w:pPr>
      <w:rPr>
        <w:rFonts w:cs="Times New Roman" w:hint="default"/>
      </w:rPr>
    </w:lvl>
    <w:lvl w:ilvl="4">
      <w:start w:val="1"/>
      <w:numFmt w:val="lowerLetter"/>
      <w:lvlText w:val="%5."/>
      <w:lvlJc w:val="left"/>
      <w:pPr>
        <w:tabs>
          <w:tab w:val="num" w:pos="360"/>
        </w:tabs>
      </w:pPr>
      <w:rPr>
        <w:rFonts w:cs="Times New Roman" w:hint="default"/>
      </w:rPr>
    </w:lvl>
    <w:lvl w:ilvl="5">
      <w:start w:val="1"/>
      <w:numFmt w:val="decimal"/>
      <w:lvlText w:val="(%6)"/>
      <w:lvlJc w:val="left"/>
      <w:pPr>
        <w:tabs>
          <w:tab w:val="num" w:pos="360"/>
        </w:tabs>
      </w:pPr>
      <w:rPr>
        <w:rFonts w:cs="Times New Roman" w:hint="default"/>
      </w:rPr>
    </w:lvl>
    <w:lvl w:ilvl="6">
      <w:start w:val="1"/>
      <w:numFmt w:val="lowerLetter"/>
      <w:lvlText w:val="(%7)"/>
      <w:lvlJc w:val="left"/>
      <w:pPr>
        <w:tabs>
          <w:tab w:val="num" w:pos="360"/>
        </w:tabs>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4A6422D6"/>
    <w:multiLevelType w:val="multilevel"/>
    <w:tmpl w:val="73EE1168"/>
    <w:lvl w:ilvl="0">
      <w:start w:val="1"/>
      <w:numFmt w:val="decimal"/>
      <w:pStyle w:val="NPR10"/>
      <w:suff w:val="space"/>
      <w:lvlText w:val="CHAPTER %1."/>
      <w:lvlJc w:val="left"/>
      <w:pPr>
        <w:ind w:left="0" w:firstLine="0"/>
      </w:p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270" w:firstLine="0"/>
      </w:pPr>
      <w:rPr>
        <w:rFonts w:ascii="Times New Roman" w:hAnsi="Times New Roman" w:cs="Times New Roman" w:hint="default"/>
        <w:b w:val="0"/>
      </w:rPr>
    </w:lvl>
    <w:lvl w:ilvl="3">
      <w:start w:val="1"/>
      <w:numFmt w:val="lowerLetter"/>
      <w:suff w:val="space"/>
      <w:lvlText w:val="%4."/>
      <w:lvlJc w:val="left"/>
      <w:pPr>
        <w:ind w:left="0" w:firstLine="0"/>
      </w:pPr>
      <w:rPr>
        <w:rFonts w:ascii="Times New Roman" w:eastAsia="Calibri" w:hAnsi="Times New Roman" w:cs="Times New Roman" w:hint="default"/>
        <w:b w:val="0"/>
      </w:rPr>
    </w:lvl>
    <w:lvl w:ilvl="4">
      <w:start w:val="1"/>
      <w:numFmt w:val="lowerLetter"/>
      <w:suff w:val="space"/>
      <w:lvlText w:val="%5."/>
      <w:lvlJc w:val="left"/>
      <w:pPr>
        <w:ind w:left="0" w:firstLine="0"/>
      </w:pPr>
      <w:rPr>
        <w:rFonts w:ascii="Times New Roman" w:eastAsia="Calibri" w:hAnsi="Times New Roman" w:cs="Times New Roman" w:hint="default"/>
        <w:b w:val="0"/>
      </w:rPr>
    </w:lvl>
    <w:lvl w:ilvl="5">
      <w:start w:val="1"/>
      <w:numFmt w:val="decimal"/>
      <w:lvlText w:val="%1.%2.%3.%4.%5.%6."/>
      <w:lvlJc w:val="left"/>
      <w:pPr>
        <w:ind w:left="1386" w:hanging="936"/>
      </w:pPr>
      <w:rPr>
        <w:rFonts w:cs="Times New Roman" w:hint="default"/>
      </w:rPr>
    </w:lvl>
    <w:lvl w:ilvl="6">
      <w:start w:val="1"/>
      <w:numFmt w:val="decimal"/>
      <w:lvlText w:val="%1.%2.%3.%4.%5.%6.%7."/>
      <w:lvlJc w:val="left"/>
      <w:pPr>
        <w:ind w:left="1890" w:hanging="1080"/>
      </w:pPr>
      <w:rPr>
        <w:rFonts w:cs="Times New Roman" w:hint="default"/>
      </w:rPr>
    </w:lvl>
    <w:lvl w:ilvl="7">
      <w:start w:val="1"/>
      <w:numFmt w:val="decimal"/>
      <w:lvlText w:val="%1.%2.%3.%4.%5.%6.%7.%8."/>
      <w:lvlJc w:val="left"/>
      <w:pPr>
        <w:ind w:left="2394" w:hanging="1224"/>
      </w:pPr>
      <w:rPr>
        <w:rFonts w:cs="Times New Roman" w:hint="default"/>
      </w:rPr>
    </w:lvl>
    <w:lvl w:ilvl="8">
      <w:start w:val="1"/>
      <w:numFmt w:val="decimal"/>
      <w:lvlText w:val="%1.%2.%3.%4.%5.%6.%7.%8.%9."/>
      <w:lvlJc w:val="left"/>
      <w:pPr>
        <w:ind w:left="2970" w:hanging="1440"/>
      </w:pPr>
      <w:rPr>
        <w:rFonts w:cs="Times New Roman" w:hint="default"/>
      </w:rPr>
    </w:lvl>
  </w:abstractNum>
  <w:abstractNum w:abstractNumId="5" w15:restartNumberingAfterBreak="0">
    <w:nsid w:val="57F17C74"/>
    <w:multiLevelType w:val="multilevel"/>
    <w:tmpl w:val="0166E444"/>
    <w:lvl w:ilvl="0">
      <w:start w:val="1"/>
      <w:numFmt w:val="decimal"/>
      <w:suff w:val="space"/>
      <w:lvlText w:val="CHAPTER %1."/>
      <w:lvlJc w:val="left"/>
      <w:pPr>
        <w:ind w:left="0" w:firstLine="0"/>
      </w:pPr>
      <w:rPr>
        <w:rFonts w:cs="Times New Roman" w:hint="default"/>
        <w:sz w:val="24"/>
        <w:szCs w:val="24"/>
      </w:rPr>
    </w:lvl>
    <w:lvl w:ilvl="1">
      <w:start w:val="1"/>
      <w:numFmt w:val="decimal"/>
      <w:pStyle w:val="NPR2"/>
      <w:suff w:val="space"/>
      <w:lvlText w:val="%1.%2"/>
      <w:lvlJc w:val="left"/>
      <w:pPr>
        <w:ind w:left="0" w:firstLine="0"/>
      </w:pPr>
      <w:rPr>
        <w:rFonts w:cs="Times New Roman" w:hint="default"/>
      </w:rPr>
    </w:lvl>
    <w:lvl w:ilvl="2">
      <w:start w:val="1"/>
      <w:numFmt w:val="decimal"/>
      <w:pStyle w:val="NPR3"/>
      <w:suff w:val="space"/>
      <w:lvlText w:val="%1.%2.%3"/>
      <w:lvlJc w:val="left"/>
      <w:pPr>
        <w:ind w:left="270" w:firstLine="0"/>
      </w:pPr>
      <w:rPr>
        <w:rFonts w:ascii="Times New Roman" w:hAnsi="Times New Roman" w:cs="Times New Roman" w:hint="default"/>
        <w:b w:val="0"/>
      </w:rPr>
    </w:lvl>
    <w:lvl w:ilvl="3">
      <w:start w:val="1"/>
      <w:numFmt w:val="lowerLetter"/>
      <w:suff w:val="space"/>
      <w:lvlText w:val="%4."/>
      <w:lvlJc w:val="left"/>
      <w:pPr>
        <w:ind w:left="0" w:firstLine="0"/>
      </w:pPr>
      <w:rPr>
        <w:rFonts w:ascii="Times New Roman" w:eastAsia="Calibri" w:hAnsi="Times New Roman" w:cs="Times New Roman" w:hint="default"/>
        <w:b w:val="0"/>
      </w:rPr>
    </w:lvl>
    <w:lvl w:ilvl="4">
      <w:start w:val="1"/>
      <w:numFmt w:val="lowerLetter"/>
      <w:suff w:val="space"/>
      <w:lvlText w:val="%5."/>
      <w:lvlJc w:val="left"/>
      <w:pPr>
        <w:ind w:left="0" w:firstLine="0"/>
      </w:pPr>
      <w:rPr>
        <w:rFonts w:ascii="Times New Roman" w:eastAsia="Calibri" w:hAnsi="Times New Roman" w:cs="Times New Roman" w:hint="default"/>
        <w:b w:val="0"/>
      </w:rPr>
    </w:lvl>
    <w:lvl w:ilvl="5">
      <w:start w:val="1"/>
      <w:numFmt w:val="decimal"/>
      <w:lvlText w:val="%1.%2.%3.%4.%5.%6."/>
      <w:lvlJc w:val="left"/>
      <w:pPr>
        <w:ind w:left="1386" w:hanging="936"/>
      </w:pPr>
      <w:rPr>
        <w:rFonts w:cs="Times New Roman" w:hint="default"/>
      </w:rPr>
    </w:lvl>
    <w:lvl w:ilvl="6">
      <w:start w:val="1"/>
      <w:numFmt w:val="decimal"/>
      <w:lvlText w:val="%1.%2.%3.%4.%5.%6.%7."/>
      <w:lvlJc w:val="left"/>
      <w:pPr>
        <w:ind w:left="1890" w:hanging="1080"/>
      </w:pPr>
      <w:rPr>
        <w:rFonts w:cs="Times New Roman" w:hint="default"/>
      </w:rPr>
    </w:lvl>
    <w:lvl w:ilvl="7">
      <w:start w:val="1"/>
      <w:numFmt w:val="decimal"/>
      <w:lvlText w:val="%1.%2.%3.%4.%5.%6.%7.%8."/>
      <w:lvlJc w:val="left"/>
      <w:pPr>
        <w:ind w:left="2394" w:hanging="1224"/>
      </w:pPr>
      <w:rPr>
        <w:rFonts w:cs="Times New Roman" w:hint="default"/>
      </w:rPr>
    </w:lvl>
    <w:lvl w:ilvl="8">
      <w:start w:val="1"/>
      <w:numFmt w:val="decimal"/>
      <w:lvlText w:val="%1.%2.%3.%4.%5.%6.%7.%8.%9."/>
      <w:lvlJc w:val="left"/>
      <w:pPr>
        <w:ind w:left="2970" w:hanging="1440"/>
      </w:pPr>
      <w:rPr>
        <w:rFonts w:cs="Times New Roman" w:hint="default"/>
      </w:rPr>
    </w:lvl>
  </w:abstractNum>
  <w:abstractNum w:abstractNumId="6" w15:restartNumberingAfterBreak="0">
    <w:nsid w:val="67DB0C25"/>
    <w:multiLevelType w:val="multilevel"/>
    <w:tmpl w:val="5AD6179E"/>
    <w:styleLink w:val="FMR"/>
    <w:lvl w:ilvl="0">
      <w:start w:val="1"/>
      <w:numFmt w:val="decimal"/>
      <w:lvlText w:val="030%1"/>
      <w:lvlJc w:val="left"/>
      <w:pPr>
        <w:tabs>
          <w:tab w:val="num" w:pos="720"/>
        </w:tabs>
        <w:ind w:firstLine="720"/>
      </w:pPr>
      <w:rPr>
        <w:rFonts w:ascii="Times New Roman" w:hAnsi="Times New Roman"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6ACB2F35"/>
    <w:multiLevelType w:val="multilevel"/>
    <w:tmpl w:val="91D407DE"/>
    <w:styleLink w:val="Style2"/>
    <w:lvl w:ilvl="0">
      <w:start w:val="1"/>
      <w:numFmt w:val="lowerLetter"/>
      <w:pStyle w:val="NPRlist1"/>
      <w:suff w:val="space"/>
      <w:lvlText w:val="%1."/>
      <w:lvlJc w:val="left"/>
      <w:rPr>
        <w:rFonts w:cs="Times New Roman" w:hint="default"/>
      </w:rPr>
    </w:lvl>
    <w:lvl w:ilvl="1">
      <w:start w:val="1"/>
      <w:numFmt w:val="decimal"/>
      <w:pStyle w:val="NPRlist2"/>
      <w:suff w:val="space"/>
      <w:lvlText w:val="(%2)"/>
      <w:lvlJc w:val="left"/>
      <w:rPr>
        <w:rFonts w:cs="Times New Roman" w:hint="default"/>
      </w:rPr>
    </w:lvl>
    <w:lvl w:ilvl="2">
      <w:start w:val="1"/>
      <w:numFmt w:val="lowerLetter"/>
      <w:pStyle w:val="NPRlist3"/>
      <w:suff w:val="space"/>
      <w:lvlText w:val="(%3)"/>
      <w:lvlJc w:val="left"/>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3240" w:hanging="360"/>
      </w:pPr>
      <w:rPr>
        <w:rFonts w:ascii="Times New Roman" w:eastAsia="Calibri" w:hAnsi="Times New Roman" w:cs="Times New Roman"/>
      </w:rPr>
    </w:lvl>
    <w:lvl w:ilvl="5">
      <w:start w:val="1"/>
      <w:numFmt w:val="lowerRoman"/>
      <w:lvlText w:val="(%6)"/>
      <w:lvlJc w:val="left"/>
      <w:pPr>
        <w:ind w:left="3600" w:hanging="36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320" w:hanging="360"/>
      </w:pPr>
      <w:rPr>
        <w:rFonts w:cs="Times New Roman" w:hint="default"/>
      </w:rPr>
    </w:lvl>
    <w:lvl w:ilvl="8">
      <w:start w:val="1"/>
      <w:numFmt w:val="lowerRoman"/>
      <w:lvlText w:val="%9."/>
      <w:lvlJc w:val="left"/>
      <w:pPr>
        <w:ind w:left="4680" w:hanging="360"/>
      </w:pPr>
      <w:rPr>
        <w:rFonts w:cs="Times New Roman" w:hint="default"/>
      </w:rPr>
    </w:lvl>
  </w:abstractNum>
  <w:abstractNum w:abstractNumId="8" w15:restartNumberingAfterBreak="0">
    <w:nsid w:val="792837D7"/>
    <w:multiLevelType w:val="multilevel"/>
    <w:tmpl w:val="0588A6E0"/>
    <w:lvl w:ilvl="0">
      <w:start w:val="1"/>
      <w:numFmt w:val="decimal"/>
      <w:pStyle w:val="NPR20"/>
      <w:lvlText w:val="Chapter %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360"/>
        </w:tabs>
      </w:pPr>
      <w:rPr>
        <w:rFonts w:cs="Times New Roman" w:hint="default"/>
      </w:rPr>
    </w:lvl>
    <w:lvl w:ilvl="3">
      <w:start w:val="1"/>
      <w:numFmt w:val="decimal"/>
      <w:lvlText w:val="%1.%2.%3.%4"/>
      <w:lvlJc w:val="left"/>
      <w:pPr>
        <w:tabs>
          <w:tab w:val="num" w:pos="-31680"/>
        </w:tabs>
      </w:pPr>
      <w:rPr>
        <w:rFonts w:cs="Times New Roman" w:hint="default"/>
      </w:rPr>
    </w:lvl>
    <w:lvl w:ilvl="4">
      <w:start w:val="1"/>
      <w:numFmt w:val="lowerLetter"/>
      <w:lvlText w:val="%5."/>
      <w:lvlJc w:val="left"/>
      <w:pPr>
        <w:tabs>
          <w:tab w:val="num" w:pos="360"/>
        </w:tabs>
      </w:pPr>
      <w:rPr>
        <w:rFonts w:cs="Times New Roman" w:hint="default"/>
      </w:rPr>
    </w:lvl>
    <w:lvl w:ilvl="5">
      <w:start w:val="1"/>
      <w:numFmt w:val="decimal"/>
      <w:lvlText w:val="(%6)"/>
      <w:lvlJc w:val="left"/>
      <w:pPr>
        <w:tabs>
          <w:tab w:val="num" w:pos="360"/>
        </w:tabs>
      </w:pPr>
      <w:rPr>
        <w:rFonts w:cs="Times New Roman" w:hint="default"/>
      </w:rPr>
    </w:lvl>
    <w:lvl w:ilvl="6">
      <w:start w:val="1"/>
      <w:numFmt w:val="lowerLetter"/>
      <w:lvlText w:val="(%7)"/>
      <w:lvlJc w:val="left"/>
      <w:pPr>
        <w:tabs>
          <w:tab w:val="num" w:pos="360"/>
        </w:tabs>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7EE61E6F"/>
    <w:multiLevelType w:val="multilevel"/>
    <w:tmpl w:val="6F663CB0"/>
    <w:lvl w:ilvl="0">
      <w:start w:val="1"/>
      <w:numFmt w:val="upperLetter"/>
      <w:pStyle w:val="StyleFMR3Arial11pt"/>
      <w:lvlText w:val="%1."/>
      <w:lvlJc w:val="left"/>
      <w:pPr>
        <w:tabs>
          <w:tab w:val="num" w:pos="3150"/>
        </w:tabs>
        <w:ind w:left="3150" w:hanging="720"/>
      </w:pPr>
      <w:rPr>
        <w:rFonts w:cs="Times New Roman" w:hint="default"/>
      </w:rPr>
    </w:lvl>
    <w:lvl w:ilvl="1">
      <w:start w:val="1"/>
      <w:numFmt w:val="decimal"/>
      <w:lvlText w:val="4.%1.%2"/>
      <w:lvlJc w:val="left"/>
      <w:pPr>
        <w:tabs>
          <w:tab w:val="num" w:pos="3960"/>
        </w:tabs>
        <w:ind w:left="3960" w:hanging="1080"/>
      </w:pPr>
      <w:rPr>
        <w:rFonts w:cs="Times New Roman" w:hint="default"/>
      </w:rPr>
    </w:lvl>
    <w:lvl w:ilvl="2">
      <w:start w:val="1"/>
      <w:numFmt w:val="upperLetter"/>
      <w:lvlText w:val="%3."/>
      <w:lvlJc w:val="left"/>
      <w:pPr>
        <w:tabs>
          <w:tab w:val="num" w:pos="4320"/>
        </w:tabs>
        <w:ind w:left="4320" w:hanging="360"/>
      </w:pPr>
      <w:rPr>
        <w:rFonts w:cs="Times New Roman" w:hint="default"/>
      </w:rPr>
    </w:lvl>
    <w:lvl w:ilvl="3">
      <w:start w:val="1"/>
      <w:numFmt w:val="decimal"/>
      <w:lvlText w:val="%4."/>
      <w:lvlJc w:val="left"/>
      <w:pPr>
        <w:tabs>
          <w:tab w:val="num" w:pos="4680"/>
        </w:tabs>
        <w:ind w:left="4680" w:hanging="360"/>
      </w:pPr>
      <w:rPr>
        <w:rFonts w:ascii="Arial" w:hAnsi="Arial" w:cs="Times New Roman" w:hint="default"/>
        <w:sz w:val="22"/>
      </w:rPr>
    </w:lvl>
    <w:lvl w:ilvl="4">
      <w:start w:val="1"/>
      <w:numFmt w:val="lowerLetter"/>
      <w:lvlText w:val="%5."/>
      <w:lvlJc w:val="left"/>
      <w:pPr>
        <w:tabs>
          <w:tab w:val="num" w:pos="5040"/>
        </w:tabs>
        <w:ind w:left="5040" w:hanging="360"/>
      </w:pPr>
      <w:rPr>
        <w:rFonts w:cs="Times New Roman" w:hint="default"/>
      </w:rPr>
    </w:lvl>
    <w:lvl w:ilvl="5">
      <w:start w:val="1"/>
      <w:numFmt w:val="decimal"/>
      <w:lvlText w:val="(%6)"/>
      <w:lvlJc w:val="left"/>
      <w:pPr>
        <w:tabs>
          <w:tab w:val="num" w:pos="5400"/>
        </w:tabs>
        <w:ind w:left="540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left"/>
      <w:pPr>
        <w:tabs>
          <w:tab w:val="num" w:pos="5400"/>
        </w:tabs>
        <w:ind w:left="5400" w:hanging="360"/>
      </w:pPr>
      <w:rPr>
        <w:rFonts w:cs="Times New Roman" w:hint="default"/>
      </w:rPr>
    </w:lvl>
  </w:abstractNum>
  <w:num w:numId="1" w16cid:durableId="904217118">
    <w:abstractNumId w:val="4"/>
  </w:num>
  <w:num w:numId="2" w16cid:durableId="1068311472">
    <w:abstractNumId w:val="0"/>
  </w:num>
  <w:num w:numId="3" w16cid:durableId="1353610480">
    <w:abstractNumId w:val="7"/>
  </w:num>
  <w:num w:numId="4" w16cid:durableId="1332412968">
    <w:abstractNumId w:val="6"/>
  </w:num>
  <w:num w:numId="5" w16cid:durableId="809709506">
    <w:abstractNumId w:val="3"/>
  </w:num>
  <w:num w:numId="6" w16cid:durableId="1726565181">
    <w:abstractNumId w:val="8"/>
  </w:num>
  <w:num w:numId="7" w16cid:durableId="1200161616">
    <w:abstractNumId w:val="9"/>
  </w:num>
  <w:num w:numId="8" w16cid:durableId="782576781">
    <w:abstractNumId w:val="7"/>
    <w:lvlOverride w:ilvl="0">
      <w:lvl w:ilvl="0">
        <w:start w:val="1"/>
        <w:numFmt w:val="lowerLetter"/>
        <w:pStyle w:val="NPRlist1"/>
        <w:suff w:val="space"/>
        <w:lvlText w:val="%1."/>
        <w:lvlJc w:val="left"/>
        <w:rPr>
          <w:rFonts w:cs="Times New Roman" w:hint="default"/>
        </w:rPr>
      </w:lvl>
    </w:lvlOverride>
    <w:lvlOverride w:ilvl="1">
      <w:lvl w:ilvl="1">
        <w:start w:val="1"/>
        <w:numFmt w:val="decimal"/>
        <w:pStyle w:val="NPRlist2"/>
        <w:suff w:val="space"/>
        <w:lvlText w:val="(%2)"/>
        <w:lvlJc w:val="left"/>
        <w:rPr>
          <w:rFonts w:cs="Times New Roman" w:hint="default"/>
        </w:rPr>
      </w:lvl>
    </w:lvlOverride>
    <w:lvlOverride w:ilvl="2">
      <w:lvl w:ilvl="2">
        <w:start w:val="1"/>
        <w:numFmt w:val="lowerLetter"/>
        <w:pStyle w:val="NPRlist3"/>
        <w:suff w:val="space"/>
        <w:lvlText w:val="(%3)"/>
        <w:lvlJc w:val="left"/>
        <w:rPr>
          <w:rFonts w:cs="Times New Roman" w:hint="default"/>
        </w:rPr>
      </w:lvl>
    </w:lvlOverride>
    <w:lvlOverride w:ilvl="3">
      <w:lvl w:ilvl="3">
        <w:start w:val="1"/>
        <w:numFmt w:val="decimal"/>
        <w:lvlText w:val="(%4)"/>
        <w:lvlJc w:val="left"/>
        <w:pPr>
          <w:ind w:left="1800" w:hanging="360"/>
        </w:pPr>
        <w:rPr>
          <w:rFonts w:cs="Times New Roman" w:hint="default"/>
        </w:rPr>
      </w:lvl>
    </w:lvlOverride>
    <w:lvlOverride w:ilvl="4">
      <w:lvl w:ilvl="4">
        <w:start w:val="1"/>
        <w:numFmt w:val="lowerLetter"/>
        <w:lvlText w:val="%5."/>
        <w:lvlJc w:val="left"/>
        <w:pPr>
          <w:ind w:left="3240" w:hanging="360"/>
        </w:pPr>
        <w:rPr>
          <w:rFonts w:ascii="Times New Roman" w:eastAsia="Calibri" w:hAnsi="Times New Roman" w:cs="Times New Roman"/>
        </w:rPr>
      </w:lvl>
    </w:lvlOverride>
    <w:lvlOverride w:ilvl="5">
      <w:lvl w:ilvl="5">
        <w:start w:val="1"/>
        <w:numFmt w:val="lowerRoman"/>
        <w:lvlText w:val="(%6)"/>
        <w:lvlJc w:val="left"/>
        <w:pPr>
          <w:ind w:left="3600" w:hanging="360"/>
        </w:pPr>
        <w:rPr>
          <w:rFonts w:cs="Times New Roman" w:hint="default"/>
        </w:rPr>
      </w:lvl>
    </w:lvlOverride>
    <w:lvlOverride w:ilvl="6">
      <w:lvl w:ilvl="6">
        <w:start w:val="1"/>
        <w:numFmt w:val="decimal"/>
        <w:lvlText w:val="%7."/>
        <w:lvlJc w:val="left"/>
        <w:pPr>
          <w:ind w:left="3960" w:hanging="360"/>
        </w:pPr>
        <w:rPr>
          <w:rFonts w:cs="Times New Roman" w:hint="default"/>
        </w:rPr>
      </w:lvl>
    </w:lvlOverride>
    <w:lvlOverride w:ilvl="7">
      <w:lvl w:ilvl="7">
        <w:start w:val="1"/>
        <w:numFmt w:val="lowerLetter"/>
        <w:lvlText w:val="%8."/>
        <w:lvlJc w:val="left"/>
        <w:pPr>
          <w:ind w:left="4320" w:hanging="360"/>
        </w:pPr>
        <w:rPr>
          <w:rFonts w:cs="Times New Roman" w:hint="default"/>
        </w:rPr>
      </w:lvl>
    </w:lvlOverride>
    <w:lvlOverride w:ilvl="8">
      <w:lvl w:ilvl="8">
        <w:start w:val="1"/>
        <w:numFmt w:val="lowerRoman"/>
        <w:lvlText w:val="%9."/>
        <w:lvlJc w:val="left"/>
        <w:pPr>
          <w:ind w:left="4680" w:hanging="360"/>
        </w:pPr>
        <w:rPr>
          <w:rFonts w:cs="Times New Roman" w:hint="default"/>
        </w:rPr>
      </w:lvl>
    </w:lvlOverride>
  </w:num>
  <w:num w:numId="9" w16cid:durableId="49233704">
    <w:abstractNumId w:val="2"/>
  </w:num>
  <w:num w:numId="10" w16cid:durableId="951716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2681502">
    <w:abstractNumId w:val="5"/>
  </w:num>
  <w:num w:numId="12" w16cid:durableId="2056658381">
    <w:abstractNumId w:val="1"/>
  </w:num>
  <w:num w:numId="13" w16cid:durableId="475606092">
    <w:abstractNumId w:val="1"/>
    <w:lvlOverride w:ilvl="0">
      <w:startOverride w:val="1"/>
    </w:lvlOverride>
  </w:num>
  <w:num w:numId="14" w16cid:durableId="726684632">
    <w:abstractNumId w:val="1"/>
    <w:lvlOverride w:ilvl="0">
      <w:startOverride w:val="1"/>
    </w:lvlOverride>
  </w:num>
  <w:num w:numId="15" w16cid:durableId="1914004609">
    <w:abstractNumId w:val="1"/>
    <w:lvlOverride w:ilvl="0">
      <w:startOverride w:val="1"/>
    </w:lvlOverride>
  </w:num>
  <w:num w:numId="16" w16cid:durableId="1245652228">
    <w:abstractNumId w:val="1"/>
    <w:lvlOverride w:ilvl="0">
      <w:startOverride w:val="1"/>
    </w:lvlOverride>
  </w:num>
  <w:num w:numId="17" w16cid:durableId="1250695028">
    <w:abstractNumId w:val="1"/>
    <w:lvlOverride w:ilvl="0">
      <w:startOverride w:val="1"/>
    </w:lvlOverride>
  </w:num>
  <w:num w:numId="18" w16cid:durableId="742683853">
    <w:abstractNumId w:val="1"/>
    <w:lvlOverride w:ilvl="0">
      <w:startOverride w:val="1"/>
    </w:lvlOverride>
  </w:num>
  <w:num w:numId="19" w16cid:durableId="959727945">
    <w:abstractNumId w:val="1"/>
    <w:lvlOverride w:ilvl="0">
      <w:startOverride w:val="1"/>
    </w:lvlOverride>
  </w:num>
  <w:num w:numId="20" w16cid:durableId="39480614">
    <w:abstractNumId w:val="1"/>
    <w:lvlOverride w:ilvl="0">
      <w:startOverride w:val="1"/>
    </w:lvlOverride>
  </w:num>
  <w:num w:numId="21" w16cid:durableId="2142261721">
    <w:abstractNumId w:val="1"/>
    <w:lvlOverride w:ilvl="0">
      <w:startOverride w:val="1"/>
    </w:lvlOverride>
  </w:num>
  <w:num w:numId="22" w16cid:durableId="1164781100">
    <w:abstractNumId w:val="1"/>
    <w:lvlOverride w:ilvl="0">
      <w:startOverride w:val="1"/>
    </w:lvlOverride>
  </w:num>
  <w:num w:numId="23" w16cid:durableId="2085369299">
    <w:abstractNumId w:val="1"/>
    <w:lvlOverride w:ilvl="0">
      <w:startOverride w:val="1"/>
    </w:lvlOverride>
  </w:num>
  <w:num w:numId="24" w16cid:durableId="248849056">
    <w:abstractNumId w:val="1"/>
    <w:lvlOverride w:ilvl="0">
      <w:startOverride w:val="1"/>
    </w:lvlOverride>
  </w:num>
  <w:num w:numId="25" w16cid:durableId="549999452">
    <w:abstractNumId w:val="1"/>
    <w:lvlOverride w:ilvl="0">
      <w:startOverride w:val="1"/>
    </w:lvlOverride>
  </w:num>
  <w:num w:numId="26" w16cid:durableId="597296279">
    <w:abstractNumId w:val="1"/>
    <w:lvlOverride w:ilvl="0">
      <w:startOverride w:val="1"/>
    </w:lvlOverride>
  </w:num>
  <w:num w:numId="27" w16cid:durableId="168326574">
    <w:abstractNumId w:val="1"/>
    <w:lvlOverride w:ilvl="0">
      <w:startOverride w:val="1"/>
    </w:lvlOverride>
  </w:num>
  <w:num w:numId="28" w16cid:durableId="2062750432">
    <w:abstractNumId w:val="1"/>
    <w:lvlOverride w:ilvl="0">
      <w:startOverride w:val="8"/>
    </w:lvlOverride>
  </w:num>
  <w:num w:numId="29" w16cid:durableId="1201168435">
    <w:abstractNumId w:val="1"/>
  </w:num>
  <w:num w:numId="30" w16cid:durableId="661590045">
    <w:abstractNumId w:val="1"/>
    <w:lvlOverride w:ilvl="0">
      <w:startOverride w:val="9"/>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CD"/>
    <w:rsid w:val="00000025"/>
    <w:rsid w:val="000008A7"/>
    <w:rsid w:val="00000C67"/>
    <w:rsid w:val="00000FBD"/>
    <w:rsid w:val="0000175C"/>
    <w:rsid w:val="00002745"/>
    <w:rsid w:val="0000332B"/>
    <w:rsid w:val="00003889"/>
    <w:rsid w:val="00003FA3"/>
    <w:rsid w:val="000040B0"/>
    <w:rsid w:val="000055BC"/>
    <w:rsid w:val="00005975"/>
    <w:rsid w:val="00005D8A"/>
    <w:rsid w:val="0000720F"/>
    <w:rsid w:val="000078DA"/>
    <w:rsid w:val="00007AD2"/>
    <w:rsid w:val="00007BDE"/>
    <w:rsid w:val="00007DFE"/>
    <w:rsid w:val="00007FDE"/>
    <w:rsid w:val="00010CDA"/>
    <w:rsid w:val="000116C1"/>
    <w:rsid w:val="00015B00"/>
    <w:rsid w:val="00017CFE"/>
    <w:rsid w:val="00017F08"/>
    <w:rsid w:val="00020962"/>
    <w:rsid w:val="0002236E"/>
    <w:rsid w:val="00022EB7"/>
    <w:rsid w:val="0002338C"/>
    <w:rsid w:val="00024384"/>
    <w:rsid w:val="000257D9"/>
    <w:rsid w:val="00025C75"/>
    <w:rsid w:val="0002612B"/>
    <w:rsid w:val="0002648F"/>
    <w:rsid w:val="000269DB"/>
    <w:rsid w:val="00027814"/>
    <w:rsid w:val="00031C9C"/>
    <w:rsid w:val="00031CDB"/>
    <w:rsid w:val="00032382"/>
    <w:rsid w:val="0003295D"/>
    <w:rsid w:val="00032AD2"/>
    <w:rsid w:val="00032AD8"/>
    <w:rsid w:val="00033962"/>
    <w:rsid w:val="00033B4F"/>
    <w:rsid w:val="000353AC"/>
    <w:rsid w:val="00036B18"/>
    <w:rsid w:val="00037459"/>
    <w:rsid w:val="000379BC"/>
    <w:rsid w:val="00037D8D"/>
    <w:rsid w:val="00040500"/>
    <w:rsid w:val="00041A6C"/>
    <w:rsid w:val="00041ED4"/>
    <w:rsid w:val="0004415E"/>
    <w:rsid w:val="0004454E"/>
    <w:rsid w:val="00044796"/>
    <w:rsid w:val="00044FEF"/>
    <w:rsid w:val="0004598A"/>
    <w:rsid w:val="00045D25"/>
    <w:rsid w:val="00046037"/>
    <w:rsid w:val="000461BA"/>
    <w:rsid w:val="000465C4"/>
    <w:rsid w:val="000468A9"/>
    <w:rsid w:val="000468D7"/>
    <w:rsid w:val="00047629"/>
    <w:rsid w:val="00047683"/>
    <w:rsid w:val="00047834"/>
    <w:rsid w:val="0005151A"/>
    <w:rsid w:val="00051E0B"/>
    <w:rsid w:val="000529B1"/>
    <w:rsid w:val="00052E43"/>
    <w:rsid w:val="0005354A"/>
    <w:rsid w:val="00053F28"/>
    <w:rsid w:val="00054055"/>
    <w:rsid w:val="00054517"/>
    <w:rsid w:val="00054FD3"/>
    <w:rsid w:val="00056A88"/>
    <w:rsid w:val="00056B35"/>
    <w:rsid w:val="0006012E"/>
    <w:rsid w:val="00060C07"/>
    <w:rsid w:val="00061931"/>
    <w:rsid w:val="00061BF5"/>
    <w:rsid w:val="00062AA9"/>
    <w:rsid w:val="000630C4"/>
    <w:rsid w:val="00063619"/>
    <w:rsid w:val="00063949"/>
    <w:rsid w:val="0006467F"/>
    <w:rsid w:val="00066171"/>
    <w:rsid w:val="00066C1F"/>
    <w:rsid w:val="000678DC"/>
    <w:rsid w:val="000705B1"/>
    <w:rsid w:val="00070E5E"/>
    <w:rsid w:val="00071329"/>
    <w:rsid w:val="000724E5"/>
    <w:rsid w:val="00072D3D"/>
    <w:rsid w:val="00073239"/>
    <w:rsid w:val="00075FFF"/>
    <w:rsid w:val="00076AAF"/>
    <w:rsid w:val="0007742C"/>
    <w:rsid w:val="00077D41"/>
    <w:rsid w:val="00080747"/>
    <w:rsid w:val="0008094A"/>
    <w:rsid w:val="00080C28"/>
    <w:rsid w:val="00081DFD"/>
    <w:rsid w:val="00082AD9"/>
    <w:rsid w:val="00083D69"/>
    <w:rsid w:val="000840F5"/>
    <w:rsid w:val="00084219"/>
    <w:rsid w:val="00084933"/>
    <w:rsid w:val="00084C4E"/>
    <w:rsid w:val="00084D09"/>
    <w:rsid w:val="00084F31"/>
    <w:rsid w:val="00085482"/>
    <w:rsid w:val="00086B65"/>
    <w:rsid w:val="000877C9"/>
    <w:rsid w:val="0009003B"/>
    <w:rsid w:val="0009057E"/>
    <w:rsid w:val="00090C1E"/>
    <w:rsid w:val="00092B6B"/>
    <w:rsid w:val="00093398"/>
    <w:rsid w:val="00093F74"/>
    <w:rsid w:val="00094607"/>
    <w:rsid w:val="00095952"/>
    <w:rsid w:val="00095F25"/>
    <w:rsid w:val="000970A5"/>
    <w:rsid w:val="00097EC6"/>
    <w:rsid w:val="000A1079"/>
    <w:rsid w:val="000A1327"/>
    <w:rsid w:val="000A14AD"/>
    <w:rsid w:val="000A16C0"/>
    <w:rsid w:val="000A2743"/>
    <w:rsid w:val="000A3084"/>
    <w:rsid w:val="000A4623"/>
    <w:rsid w:val="000A50B7"/>
    <w:rsid w:val="000A5107"/>
    <w:rsid w:val="000A5B18"/>
    <w:rsid w:val="000A6B1B"/>
    <w:rsid w:val="000A6FE2"/>
    <w:rsid w:val="000B0405"/>
    <w:rsid w:val="000B0620"/>
    <w:rsid w:val="000B072A"/>
    <w:rsid w:val="000B2161"/>
    <w:rsid w:val="000B2229"/>
    <w:rsid w:val="000B22A1"/>
    <w:rsid w:val="000B29F2"/>
    <w:rsid w:val="000B3069"/>
    <w:rsid w:val="000B3909"/>
    <w:rsid w:val="000B403F"/>
    <w:rsid w:val="000B4191"/>
    <w:rsid w:val="000B501B"/>
    <w:rsid w:val="000B64E1"/>
    <w:rsid w:val="000B69F4"/>
    <w:rsid w:val="000B7578"/>
    <w:rsid w:val="000B7832"/>
    <w:rsid w:val="000B7B53"/>
    <w:rsid w:val="000B7ED6"/>
    <w:rsid w:val="000C004B"/>
    <w:rsid w:val="000C0B74"/>
    <w:rsid w:val="000C0F85"/>
    <w:rsid w:val="000C1558"/>
    <w:rsid w:val="000C1844"/>
    <w:rsid w:val="000C2113"/>
    <w:rsid w:val="000C27CF"/>
    <w:rsid w:val="000C298F"/>
    <w:rsid w:val="000C2DA3"/>
    <w:rsid w:val="000C2EC4"/>
    <w:rsid w:val="000C34C4"/>
    <w:rsid w:val="000C447C"/>
    <w:rsid w:val="000C4D19"/>
    <w:rsid w:val="000C51F6"/>
    <w:rsid w:val="000C5513"/>
    <w:rsid w:val="000C6183"/>
    <w:rsid w:val="000C697F"/>
    <w:rsid w:val="000C6D2B"/>
    <w:rsid w:val="000C6EDE"/>
    <w:rsid w:val="000C790A"/>
    <w:rsid w:val="000D048A"/>
    <w:rsid w:val="000D2347"/>
    <w:rsid w:val="000D2457"/>
    <w:rsid w:val="000D27BC"/>
    <w:rsid w:val="000D32FA"/>
    <w:rsid w:val="000D3A74"/>
    <w:rsid w:val="000D4B5B"/>
    <w:rsid w:val="000D5A48"/>
    <w:rsid w:val="000D6ACA"/>
    <w:rsid w:val="000D6B78"/>
    <w:rsid w:val="000D6D30"/>
    <w:rsid w:val="000D72AC"/>
    <w:rsid w:val="000D74B0"/>
    <w:rsid w:val="000D7642"/>
    <w:rsid w:val="000D7C27"/>
    <w:rsid w:val="000E0062"/>
    <w:rsid w:val="000E0E37"/>
    <w:rsid w:val="000E122B"/>
    <w:rsid w:val="000E19E5"/>
    <w:rsid w:val="000E1C5E"/>
    <w:rsid w:val="000E458A"/>
    <w:rsid w:val="000E4DC0"/>
    <w:rsid w:val="000E70D4"/>
    <w:rsid w:val="000E7AE1"/>
    <w:rsid w:val="000F01B2"/>
    <w:rsid w:val="000F0E48"/>
    <w:rsid w:val="000F166A"/>
    <w:rsid w:val="000F16BD"/>
    <w:rsid w:val="000F1DB6"/>
    <w:rsid w:val="000F2AF1"/>
    <w:rsid w:val="000F338E"/>
    <w:rsid w:val="000F39D4"/>
    <w:rsid w:val="000F3A1C"/>
    <w:rsid w:val="000F3CA2"/>
    <w:rsid w:val="000F3FD2"/>
    <w:rsid w:val="000F4813"/>
    <w:rsid w:val="000F5DA3"/>
    <w:rsid w:val="000F6660"/>
    <w:rsid w:val="000F70D6"/>
    <w:rsid w:val="0010177B"/>
    <w:rsid w:val="00101E4B"/>
    <w:rsid w:val="00103291"/>
    <w:rsid w:val="001042B3"/>
    <w:rsid w:val="00104E1B"/>
    <w:rsid w:val="001054AC"/>
    <w:rsid w:val="0010648C"/>
    <w:rsid w:val="00106657"/>
    <w:rsid w:val="00106B02"/>
    <w:rsid w:val="00107222"/>
    <w:rsid w:val="001103DB"/>
    <w:rsid w:val="00110D51"/>
    <w:rsid w:val="001118EE"/>
    <w:rsid w:val="00111FF5"/>
    <w:rsid w:val="00112A6B"/>
    <w:rsid w:val="00112B74"/>
    <w:rsid w:val="00112DFF"/>
    <w:rsid w:val="00113164"/>
    <w:rsid w:val="00113866"/>
    <w:rsid w:val="00113DFA"/>
    <w:rsid w:val="001144C7"/>
    <w:rsid w:val="001156E3"/>
    <w:rsid w:val="00115AF9"/>
    <w:rsid w:val="00115C92"/>
    <w:rsid w:val="00115CC8"/>
    <w:rsid w:val="00116B36"/>
    <w:rsid w:val="00116E2B"/>
    <w:rsid w:val="00116F83"/>
    <w:rsid w:val="001203AD"/>
    <w:rsid w:val="0012070A"/>
    <w:rsid w:val="00121398"/>
    <w:rsid w:val="00121652"/>
    <w:rsid w:val="001216D3"/>
    <w:rsid w:val="00121870"/>
    <w:rsid w:val="00121E32"/>
    <w:rsid w:val="00121EAA"/>
    <w:rsid w:val="00122452"/>
    <w:rsid w:val="0012432D"/>
    <w:rsid w:val="00124E81"/>
    <w:rsid w:val="00125429"/>
    <w:rsid w:val="001258A4"/>
    <w:rsid w:val="00125927"/>
    <w:rsid w:val="00125A02"/>
    <w:rsid w:val="0012714A"/>
    <w:rsid w:val="001271AF"/>
    <w:rsid w:val="0013016B"/>
    <w:rsid w:val="00130BA0"/>
    <w:rsid w:val="00131FAA"/>
    <w:rsid w:val="001322AA"/>
    <w:rsid w:val="00133EE1"/>
    <w:rsid w:val="0013436E"/>
    <w:rsid w:val="00134398"/>
    <w:rsid w:val="00135E96"/>
    <w:rsid w:val="0013719B"/>
    <w:rsid w:val="001373E2"/>
    <w:rsid w:val="0013744C"/>
    <w:rsid w:val="001407D5"/>
    <w:rsid w:val="0014118F"/>
    <w:rsid w:val="0014164E"/>
    <w:rsid w:val="00141CFF"/>
    <w:rsid w:val="0014227D"/>
    <w:rsid w:val="00142668"/>
    <w:rsid w:val="0014284A"/>
    <w:rsid w:val="001434F8"/>
    <w:rsid w:val="001435FE"/>
    <w:rsid w:val="00143ED2"/>
    <w:rsid w:val="001450D1"/>
    <w:rsid w:val="00145C0C"/>
    <w:rsid w:val="00145DEF"/>
    <w:rsid w:val="00147B0E"/>
    <w:rsid w:val="001503F0"/>
    <w:rsid w:val="001504A1"/>
    <w:rsid w:val="00150D39"/>
    <w:rsid w:val="00150E5F"/>
    <w:rsid w:val="001510B1"/>
    <w:rsid w:val="0015119A"/>
    <w:rsid w:val="001520C4"/>
    <w:rsid w:val="00152B41"/>
    <w:rsid w:val="00153033"/>
    <w:rsid w:val="00153161"/>
    <w:rsid w:val="0015339E"/>
    <w:rsid w:val="00153E42"/>
    <w:rsid w:val="001543A4"/>
    <w:rsid w:val="00154FB1"/>
    <w:rsid w:val="00155094"/>
    <w:rsid w:val="00155217"/>
    <w:rsid w:val="00155D23"/>
    <w:rsid w:val="00156BD7"/>
    <w:rsid w:val="00157068"/>
    <w:rsid w:val="001573A7"/>
    <w:rsid w:val="001577D9"/>
    <w:rsid w:val="00157D58"/>
    <w:rsid w:val="0016003D"/>
    <w:rsid w:val="00160FF0"/>
    <w:rsid w:val="001614DF"/>
    <w:rsid w:val="0016195D"/>
    <w:rsid w:val="00161BDA"/>
    <w:rsid w:val="001631F0"/>
    <w:rsid w:val="0016408A"/>
    <w:rsid w:val="001644AD"/>
    <w:rsid w:val="00164FB1"/>
    <w:rsid w:val="001654A5"/>
    <w:rsid w:val="001657D6"/>
    <w:rsid w:val="001659E5"/>
    <w:rsid w:val="00165D6E"/>
    <w:rsid w:val="00166694"/>
    <w:rsid w:val="001666F4"/>
    <w:rsid w:val="00166749"/>
    <w:rsid w:val="0016742C"/>
    <w:rsid w:val="00170377"/>
    <w:rsid w:val="001704C8"/>
    <w:rsid w:val="001706D1"/>
    <w:rsid w:val="001723D0"/>
    <w:rsid w:val="00172812"/>
    <w:rsid w:val="00172F2D"/>
    <w:rsid w:val="00174D9D"/>
    <w:rsid w:val="00175653"/>
    <w:rsid w:val="0017622F"/>
    <w:rsid w:val="00176318"/>
    <w:rsid w:val="00177C56"/>
    <w:rsid w:val="00180F00"/>
    <w:rsid w:val="001814E7"/>
    <w:rsid w:val="0018171E"/>
    <w:rsid w:val="001817C1"/>
    <w:rsid w:val="001817D3"/>
    <w:rsid w:val="00182186"/>
    <w:rsid w:val="00182287"/>
    <w:rsid w:val="00182724"/>
    <w:rsid w:val="00182C5F"/>
    <w:rsid w:val="00183312"/>
    <w:rsid w:val="00183A01"/>
    <w:rsid w:val="00184862"/>
    <w:rsid w:val="00185525"/>
    <w:rsid w:val="001864F1"/>
    <w:rsid w:val="00186A56"/>
    <w:rsid w:val="00187C8A"/>
    <w:rsid w:val="00190656"/>
    <w:rsid w:val="00191195"/>
    <w:rsid w:val="00191497"/>
    <w:rsid w:val="00192166"/>
    <w:rsid w:val="00192170"/>
    <w:rsid w:val="001934B4"/>
    <w:rsid w:val="00194420"/>
    <w:rsid w:val="001947A5"/>
    <w:rsid w:val="00194AC1"/>
    <w:rsid w:val="00194E24"/>
    <w:rsid w:val="00195DF3"/>
    <w:rsid w:val="0019614A"/>
    <w:rsid w:val="00196C1E"/>
    <w:rsid w:val="00196C60"/>
    <w:rsid w:val="0019788C"/>
    <w:rsid w:val="001A03FB"/>
    <w:rsid w:val="001A14F3"/>
    <w:rsid w:val="001A159C"/>
    <w:rsid w:val="001A1F5F"/>
    <w:rsid w:val="001A2923"/>
    <w:rsid w:val="001A2B3E"/>
    <w:rsid w:val="001A3555"/>
    <w:rsid w:val="001A5515"/>
    <w:rsid w:val="001A5A5A"/>
    <w:rsid w:val="001A69FA"/>
    <w:rsid w:val="001A6A6B"/>
    <w:rsid w:val="001A7D99"/>
    <w:rsid w:val="001B02D3"/>
    <w:rsid w:val="001B0421"/>
    <w:rsid w:val="001B0C71"/>
    <w:rsid w:val="001B0CCE"/>
    <w:rsid w:val="001B16F6"/>
    <w:rsid w:val="001B1D89"/>
    <w:rsid w:val="001B2560"/>
    <w:rsid w:val="001B4A48"/>
    <w:rsid w:val="001B4AA5"/>
    <w:rsid w:val="001B4AB9"/>
    <w:rsid w:val="001B5F03"/>
    <w:rsid w:val="001C026F"/>
    <w:rsid w:val="001C05B2"/>
    <w:rsid w:val="001C0B4A"/>
    <w:rsid w:val="001C1328"/>
    <w:rsid w:val="001C13BF"/>
    <w:rsid w:val="001C13EF"/>
    <w:rsid w:val="001C1729"/>
    <w:rsid w:val="001C18F3"/>
    <w:rsid w:val="001C1981"/>
    <w:rsid w:val="001C3129"/>
    <w:rsid w:val="001C337A"/>
    <w:rsid w:val="001C3DC9"/>
    <w:rsid w:val="001C3FF8"/>
    <w:rsid w:val="001C4BE2"/>
    <w:rsid w:val="001C63F7"/>
    <w:rsid w:val="001C7347"/>
    <w:rsid w:val="001C7FCC"/>
    <w:rsid w:val="001D0384"/>
    <w:rsid w:val="001D1FD2"/>
    <w:rsid w:val="001D30D1"/>
    <w:rsid w:val="001D3A0C"/>
    <w:rsid w:val="001D4995"/>
    <w:rsid w:val="001D64F1"/>
    <w:rsid w:val="001D69E1"/>
    <w:rsid w:val="001D6F00"/>
    <w:rsid w:val="001D7300"/>
    <w:rsid w:val="001D7B98"/>
    <w:rsid w:val="001E0307"/>
    <w:rsid w:val="001E0FA8"/>
    <w:rsid w:val="001E19A5"/>
    <w:rsid w:val="001E2843"/>
    <w:rsid w:val="001E2A6E"/>
    <w:rsid w:val="001E3B0C"/>
    <w:rsid w:val="001E3BF9"/>
    <w:rsid w:val="001E4968"/>
    <w:rsid w:val="001E537A"/>
    <w:rsid w:val="001E542D"/>
    <w:rsid w:val="001E54BF"/>
    <w:rsid w:val="001E5A2F"/>
    <w:rsid w:val="001E64DE"/>
    <w:rsid w:val="001E6942"/>
    <w:rsid w:val="001E6AC6"/>
    <w:rsid w:val="001E6B0D"/>
    <w:rsid w:val="001F0A7F"/>
    <w:rsid w:val="001F0BF7"/>
    <w:rsid w:val="001F1334"/>
    <w:rsid w:val="001F1995"/>
    <w:rsid w:val="001F2D86"/>
    <w:rsid w:val="001F2FA6"/>
    <w:rsid w:val="001F4035"/>
    <w:rsid w:val="001F4CCA"/>
    <w:rsid w:val="001F6357"/>
    <w:rsid w:val="001F6B18"/>
    <w:rsid w:val="001F7174"/>
    <w:rsid w:val="001F7B13"/>
    <w:rsid w:val="001F7B2C"/>
    <w:rsid w:val="0020091F"/>
    <w:rsid w:val="00200AE6"/>
    <w:rsid w:val="00201341"/>
    <w:rsid w:val="0020166A"/>
    <w:rsid w:val="002025D2"/>
    <w:rsid w:val="0020341F"/>
    <w:rsid w:val="002036FF"/>
    <w:rsid w:val="00203A2E"/>
    <w:rsid w:val="00203AC1"/>
    <w:rsid w:val="00203E15"/>
    <w:rsid w:val="00203FCD"/>
    <w:rsid w:val="002050E8"/>
    <w:rsid w:val="00205745"/>
    <w:rsid w:val="00205799"/>
    <w:rsid w:val="00205A32"/>
    <w:rsid w:val="00205BFA"/>
    <w:rsid w:val="00205F7A"/>
    <w:rsid w:val="00206964"/>
    <w:rsid w:val="0020735C"/>
    <w:rsid w:val="00207F16"/>
    <w:rsid w:val="00210925"/>
    <w:rsid w:val="00210C44"/>
    <w:rsid w:val="002111A9"/>
    <w:rsid w:val="0021134B"/>
    <w:rsid w:val="0021163A"/>
    <w:rsid w:val="00211946"/>
    <w:rsid w:val="00212029"/>
    <w:rsid w:val="0021236C"/>
    <w:rsid w:val="0021295C"/>
    <w:rsid w:val="00214053"/>
    <w:rsid w:val="0021425A"/>
    <w:rsid w:val="002148CC"/>
    <w:rsid w:val="002161BE"/>
    <w:rsid w:val="00216A3A"/>
    <w:rsid w:val="00217114"/>
    <w:rsid w:val="00220046"/>
    <w:rsid w:val="0022116E"/>
    <w:rsid w:val="00221260"/>
    <w:rsid w:val="002215CB"/>
    <w:rsid w:val="00221817"/>
    <w:rsid w:val="00221EAD"/>
    <w:rsid w:val="0022232B"/>
    <w:rsid w:val="00222625"/>
    <w:rsid w:val="00223346"/>
    <w:rsid w:val="002238D2"/>
    <w:rsid w:val="00223A1A"/>
    <w:rsid w:val="00225646"/>
    <w:rsid w:val="00225AB5"/>
    <w:rsid w:val="00225B44"/>
    <w:rsid w:val="002262FF"/>
    <w:rsid w:val="00226A3E"/>
    <w:rsid w:val="002305AF"/>
    <w:rsid w:val="00231112"/>
    <w:rsid w:val="00231342"/>
    <w:rsid w:val="00231795"/>
    <w:rsid w:val="002319AC"/>
    <w:rsid w:val="00231B63"/>
    <w:rsid w:val="002329EA"/>
    <w:rsid w:val="00232BDF"/>
    <w:rsid w:val="0023387F"/>
    <w:rsid w:val="00233AE9"/>
    <w:rsid w:val="00235281"/>
    <w:rsid w:val="00235366"/>
    <w:rsid w:val="002372B4"/>
    <w:rsid w:val="00237828"/>
    <w:rsid w:val="0024056E"/>
    <w:rsid w:val="00240F5C"/>
    <w:rsid w:val="00241BFD"/>
    <w:rsid w:val="00243101"/>
    <w:rsid w:val="002432D8"/>
    <w:rsid w:val="00244E3A"/>
    <w:rsid w:val="00245107"/>
    <w:rsid w:val="00245F8E"/>
    <w:rsid w:val="0024795D"/>
    <w:rsid w:val="00247DD4"/>
    <w:rsid w:val="0025000B"/>
    <w:rsid w:val="0025076D"/>
    <w:rsid w:val="00250AC3"/>
    <w:rsid w:val="0025173D"/>
    <w:rsid w:val="002518B9"/>
    <w:rsid w:val="00251B59"/>
    <w:rsid w:val="00252945"/>
    <w:rsid w:val="002538AF"/>
    <w:rsid w:val="00253B63"/>
    <w:rsid w:val="00255BBF"/>
    <w:rsid w:val="00255F70"/>
    <w:rsid w:val="0025719C"/>
    <w:rsid w:val="00257778"/>
    <w:rsid w:val="00257DF2"/>
    <w:rsid w:val="00260747"/>
    <w:rsid w:val="00260BB9"/>
    <w:rsid w:val="0026142A"/>
    <w:rsid w:val="00261585"/>
    <w:rsid w:val="0026430E"/>
    <w:rsid w:val="00264677"/>
    <w:rsid w:val="002648BD"/>
    <w:rsid w:val="002648F5"/>
    <w:rsid w:val="0026509E"/>
    <w:rsid w:val="00265ACB"/>
    <w:rsid w:val="00265B3C"/>
    <w:rsid w:val="00265DA4"/>
    <w:rsid w:val="002664C1"/>
    <w:rsid w:val="002665E9"/>
    <w:rsid w:val="0026661F"/>
    <w:rsid w:val="00266D33"/>
    <w:rsid w:val="00266F08"/>
    <w:rsid w:val="002705EF"/>
    <w:rsid w:val="00270606"/>
    <w:rsid w:val="002707F9"/>
    <w:rsid w:val="002719FD"/>
    <w:rsid w:val="00271FBD"/>
    <w:rsid w:val="00272F5B"/>
    <w:rsid w:val="00275709"/>
    <w:rsid w:val="00275D62"/>
    <w:rsid w:val="002764F5"/>
    <w:rsid w:val="00276BF8"/>
    <w:rsid w:val="00277A69"/>
    <w:rsid w:val="00277C9F"/>
    <w:rsid w:val="00280078"/>
    <w:rsid w:val="002801AE"/>
    <w:rsid w:val="00280D65"/>
    <w:rsid w:val="00281CE6"/>
    <w:rsid w:val="002820A8"/>
    <w:rsid w:val="002827F5"/>
    <w:rsid w:val="0028284C"/>
    <w:rsid w:val="00282A9B"/>
    <w:rsid w:val="00282CAC"/>
    <w:rsid w:val="00283B03"/>
    <w:rsid w:val="002867E1"/>
    <w:rsid w:val="002871BC"/>
    <w:rsid w:val="00287A97"/>
    <w:rsid w:val="002901B3"/>
    <w:rsid w:val="0029075D"/>
    <w:rsid w:val="00291052"/>
    <w:rsid w:val="00291206"/>
    <w:rsid w:val="002913A6"/>
    <w:rsid w:val="00291F65"/>
    <w:rsid w:val="0029244E"/>
    <w:rsid w:val="00293207"/>
    <w:rsid w:val="0029323A"/>
    <w:rsid w:val="00293605"/>
    <w:rsid w:val="00293C6D"/>
    <w:rsid w:val="00294B84"/>
    <w:rsid w:val="002A04A7"/>
    <w:rsid w:val="002A1FB9"/>
    <w:rsid w:val="002A2B7B"/>
    <w:rsid w:val="002A3964"/>
    <w:rsid w:val="002A3DFD"/>
    <w:rsid w:val="002A3F07"/>
    <w:rsid w:val="002A3F64"/>
    <w:rsid w:val="002A4A36"/>
    <w:rsid w:val="002A4E29"/>
    <w:rsid w:val="002A60A5"/>
    <w:rsid w:val="002A6682"/>
    <w:rsid w:val="002A6B57"/>
    <w:rsid w:val="002A72F4"/>
    <w:rsid w:val="002A7886"/>
    <w:rsid w:val="002A7A48"/>
    <w:rsid w:val="002A7A90"/>
    <w:rsid w:val="002B0BC0"/>
    <w:rsid w:val="002B0F6A"/>
    <w:rsid w:val="002B1095"/>
    <w:rsid w:val="002B3512"/>
    <w:rsid w:val="002B38C7"/>
    <w:rsid w:val="002B39BB"/>
    <w:rsid w:val="002B3BF3"/>
    <w:rsid w:val="002B3C7A"/>
    <w:rsid w:val="002B3E67"/>
    <w:rsid w:val="002B3F32"/>
    <w:rsid w:val="002B404C"/>
    <w:rsid w:val="002B4878"/>
    <w:rsid w:val="002B5716"/>
    <w:rsid w:val="002B57A6"/>
    <w:rsid w:val="002B5D9F"/>
    <w:rsid w:val="002B6B0D"/>
    <w:rsid w:val="002B7B40"/>
    <w:rsid w:val="002C028B"/>
    <w:rsid w:val="002C3E75"/>
    <w:rsid w:val="002C4B39"/>
    <w:rsid w:val="002C4E89"/>
    <w:rsid w:val="002C535C"/>
    <w:rsid w:val="002C63EF"/>
    <w:rsid w:val="002C784F"/>
    <w:rsid w:val="002C7ACD"/>
    <w:rsid w:val="002D1C4B"/>
    <w:rsid w:val="002D2295"/>
    <w:rsid w:val="002D2B2D"/>
    <w:rsid w:val="002D4421"/>
    <w:rsid w:val="002D51C7"/>
    <w:rsid w:val="002D6C39"/>
    <w:rsid w:val="002D6CB0"/>
    <w:rsid w:val="002E0369"/>
    <w:rsid w:val="002E0912"/>
    <w:rsid w:val="002E1945"/>
    <w:rsid w:val="002E1E84"/>
    <w:rsid w:val="002E251E"/>
    <w:rsid w:val="002E4243"/>
    <w:rsid w:val="002E4741"/>
    <w:rsid w:val="002E545D"/>
    <w:rsid w:val="002E60E0"/>
    <w:rsid w:val="002E67B1"/>
    <w:rsid w:val="002E70F1"/>
    <w:rsid w:val="002E76D6"/>
    <w:rsid w:val="002E7FAC"/>
    <w:rsid w:val="002F01AE"/>
    <w:rsid w:val="002F0ECA"/>
    <w:rsid w:val="002F1119"/>
    <w:rsid w:val="002F1CBB"/>
    <w:rsid w:val="002F2C40"/>
    <w:rsid w:val="002F418C"/>
    <w:rsid w:val="002F45E8"/>
    <w:rsid w:val="002F4A1E"/>
    <w:rsid w:val="002F4CEA"/>
    <w:rsid w:val="002F54A0"/>
    <w:rsid w:val="002F583D"/>
    <w:rsid w:val="002F67A3"/>
    <w:rsid w:val="002F6822"/>
    <w:rsid w:val="002F6BA9"/>
    <w:rsid w:val="002F6C12"/>
    <w:rsid w:val="002F7549"/>
    <w:rsid w:val="003016A4"/>
    <w:rsid w:val="0030189B"/>
    <w:rsid w:val="00301B8A"/>
    <w:rsid w:val="00301ED1"/>
    <w:rsid w:val="003025E3"/>
    <w:rsid w:val="003029C3"/>
    <w:rsid w:val="003034D1"/>
    <w:rsid w:val="00304279"/>
    <w:rsid w:val="00304A2A"/>
    <w:rsid w:val="0030542D"/>
    <w:rsid w:val="00305D27"/>
    <w:rsid w:val="00306F52"/>
    <w:rsid w:val="00307157"/>
    <w:rsid w:val="003072FD"/>
    <w:rsid w:val="003074D5"/>
    <w:rsid w:val="003075E4"/>
    <w:rsid w:val="00307B09"/>
    <w:rsid w:val="00307E58"/>
    <w:rsid w:val="00307F6C"/>
    <w:rsid w:val="003100EE"/>
    <w:rsid w:val="0031137D"/>
    <w:rsid w:val="00311CE7"/>
    <w:rsid w:val="00312872"/>
    <w:rsid w:val="00312E6F"/>
    <w:rsid w:val="00313719"/>
    <w:rsid w:val="00313C48"/>
    <w:rsid w:val="00314AD9"/>
    <w:rsid w:val="00314AFA"/>
    <w:rsid w:val="00314AFD"/>
    <w:rsid w:val="0031507C"/>
    <w:rsid w:val="003155DC"/>
    <w:rsid w:val="00315665"/>
    <w:rsid w:val="003157DF"/>
    <w:rsid w:val="00316259"/>
    <w:rsid w:val="00316876"/>
    <w:rsid w:val="00316ECE"/>
    <w:rsid w:val="00317E8B"/>
    <w:rsid w:val="0032032D"/>
    <w:rsid w:val="0032039D"/>
    <w:rsid w:val="003204AC"/>
    <w:rsid w:val="00320E08"/>
    <w:rsid w:val="00322141"/>
    <w:rsid w:val="00322D4E"/>
    <w:rsid w:val="00322D8B"/>
    <w:rsid w:val="00323932"/>
    <w:rsid w:val="00323D0E"/>
    <w:rsid w:val="00323D71"/>
    <w:rsid w:val="00323DDB"/>
    <w:rsid w:val="0032537B"/>
    <w:rsid w:val="00327187"/>
    <w:rsid w:val="003272DC"/>
    <w:rsid w:val="003273DB"/>
    <w:rsid w:val="0032767E"/>
    <w:rsid w:val="00331B65"/>
    <w:rsid w:val="00331BEB"/>
    <w:rsid w:val="003322F3"/>
    <w:rsid w:val="00332A26"/>
    <w:rsid w:val="00333155"/>
    <w:rsid w:val="00333367"/>
    <w:rsid w:val="00333526"/>
    <w:rsid w:val="00333527"/>
    <w:rsid w:val="00333700"/>
    <w:rsid w:val="00333AA2"/>
    <w:rsid w:val="00333B73"/>
    <w:rsid w:val="00333D81"/>
    <w:rsid w:val="00334A4E"/>
    <w:rsid w:val="00337DF3"/>
    <w:rsid w:val="00337E3F"/>
    <w:rsid w:val="003409E8"/>
    <w:rsid w:val="00341765"/>
    <w:rsid w:val="00341C26"/>
    <w:rsid w:val="00343A41"/>
    <w:rsid w:val="0034407E"/>
    <w:rsid w:val="00344B2D"/>
    <w:rsid w:val="00344C45"/>
    <w:rsid w:val="0034503E"/>
    <w:rsid w:val="003450EA"/>
    <w:rsid w:val="0034556A"/>
    <w:rsid w:val="0034586E"/>
    <w:rsid w:val="00345A81"/>
    <w:rsid w:val="00345CFE"/>
    <w:rsid w:val="003463AF"/>
    <w:rsid w:val="003468AA"/>
    <w:rsid w:val="003469B5"/>
    <w:rsid w:val="00347DED"/>
    <w:rsid w:val="00347E3D"/>
    <w:rsid w:val="003506C0"/>
    <w:rsid w:val="003509E0"/>
    <w:rsid w:val="00350C99"/>
    <w:rsid w:val="00350D3A"/>
    <w:rsid w:val="00351A27"/>
    <w:rsid w:val="003522DA"/>
    <w:rsid w:val="00352A98"/>
    <w:rsid w:val="003533BA"/>
    <w:rsid w:val="00353AFF"/>
    <w:rsid w:val="00354B18"/>
    <w:rsid w:val="00354DA3"/>
    <w:rsid w:val="0035501A"/>
    <w:rsid w:val="003551E2"/>
    <w:rsid w:val="003566E5"/>
    <w:rsid w:val="00356717"/>
    <w:rsid w:val="00360B17"/>
    <w:rsid w:val="0036130D"/>
    <w:rsid w:val="00361EB6"/>
    <w:rsid w:val="003623DF"/>
    <w:rsid w:val="0036282C"/>
    <w:rsid w:val="003629C5"/>
    <w:rsid w:val="00362DCA"/>
    <w:rsid w:val="00362DF7"/>
    <w:rsid w:val="00363512"/>
    <w:rsid w:val="003648BA"/>
    <w:rsid w:val="00364C3E"/>
    <w:rsid w:val="00364FBC"/>
    <w:rsid w:val="00365082"/>
    <w:rsid w:val="003650FF"/>
    <w:rsid w:val="003651B9"/>
    <w:rsid w:val="003660E4"/>
    <w:rsid w:val="00366C9B"/>
    <w:rsid w:val="0036796F"/>
    <w:rsid w:val="00370E0D"/>
    <w:rsid w:val="00372F89"/>
    <w:rsid w:val="00373982"/>
    <w:rsid w:val="003740E8"/>
    <w:rsid w:val="0037462C"/>
    <w:rsid w:val="00374ECC"/>
    <w:rsid w:val="00374FFD"/>
    <w:rsid w:val="00376483"/>
    <w:rsid w:val="00377535"/>
    <w:rsid w:val="003775F1"/>
    <w:rsid w:val="003777FC"/>
    <w:rsid w:val="00380125"/>
    <w:rsid w:val="00380418"/>
    <w:rsid w:val="0038062C"/>
    <w:rsid w:val="00381216"/>
    <w:rsid w:val="00381837"/>
    <w:rsid w:val="00381EBD"/>
    <w:rsid w:val="003822EC"/>
    <w:rsid w:val="0038234F"/>
    <w:rsid w:val="00382FF5"/>
    <w:rsid w:val="00383B2B"/>
    <w:rsid w:val="00384480"/>
    <w:rsid w:val="003853B6"/>
    <w:rsid w:val="003854EA"/>
    <w:rsid w:val="00385689"/>
    <w:rsid w:val="00385F22"/>
    <w:rsid w:val="0038698F"/>
    <w:rsid w:val="0038729B"/>
    <w:rsid w:val="00387BBA"/>
    <w:rsid w:val="003901AC"/>
    <w:rsid w:val="00390887"/>
    <w:rsid w:val="00392C74"/>
    <w:rsid w:val="00393618"/>
    <w:rsid w:val="00393B57"/>
    <w:rsid w:val="00394AAB"/>
    <w:rsid w:val="00394ABE"/>
    <w:rsid w:val="00396A1F"/>
    <w:rsid w:val="0039779C"/>
    <w:rsid w:val="003A05AF"/>
    <w:rsid w:val="003A0CB0"/>
    <w:rsid w:val="003A1DD5"/>
    <w:rsid w:val="003A1ED0"/>
    <w:rsid w:val="003A23B5"/>
    <w:rsid w:val="003A3144"/>
    <w:rsid w:val="003A3678"/>
    <w:rsid w:val="003A3AAA"/>
    <w:rsid w:val="003A4348"/>
    <w:rsid w:val="003A44CE"/>
    <w:rsid w:val="003A4763"/>
    <w:rsid w:val="003A6D02"/>
    <w:rsid w:val="003A6DDF"/>
    <w:rsid w:val="003A7BD8"/>
    <w:rsid w:val="003B02A8"/>
    <w:rsid w:val="003B2440"/>
    <w:rsid w:val="003B3F6A"/>
    <w:rsid w:val="003B4F0C"/>
    <w:rsid w:val="003B4F34"/>
    <w:rsid w:val="003B5836"/>
    <w:rsid w:val="003B5C96"/>
    <w:rsid w:val="003B5D44"/>
    <w:rsid w:val="003B5F19"/>
    <w:rsid w:val="003B6D51"/>
    <w:rsid w:val="003B72D3"/>
    <w:rsid w:val="003B79EA"/>
    <w:rsid w:val="003B7D4A"/>
    <w:rsid w:val="003B7DEE"/>
    <w:rsid w:val="003C04D8"/>
    <w:rsid w:val="003C21E1"/>
    <w:rsid w:val="003C3771"/>
    <w:rsid w:val="003C4086"/>
    <w:rsid w:val="003C4481"/>
    <w:rsid w:val="003C4AF1"/>
    <w:rsid w:val="003C4C0C"/>
    <w:rsid w:val="003C5707"/>
    <w:rsid w:val="003C5F4D"/>
    <w:rsid w:val="003C6C4C"/>
    <w:rsid w:val="003C6F21"/>
    <w:rsid w:val="003D0052"/>
    <w:rsid w:val="003D0967"/>
    <w:rsid w:val="003D17A3"/>
    <w:rsid w:val="003D24D9"/>
    <w:rsid w:val="003D3023"/>
    <w:rsid w:val="003D31CA"/>
    <w:rsid w:val="003D3E95"/>
    <w:rsid w:val="003D430B"/>
    <w:rsid w:val="003D48CC"/>
    <w:rsid w:val="003D4DFB"/>
    <w:rsid w:val="003D4E1F"/>
    <w:rsid w:val="003D537F"/>
    <w:rsid w:val="003D5625"/>
    <w:rsid w:val="003D69E4"/>
    <w:rsid w:val="003D77E4"/>
    <w:rsid w:val="003D7F5F"/>
    <w:rsid w:val="003E2081"/>
    <w:rsid w:val="003E234C"/>
    <w:rsid w:val="003E23EC"/>
    <w:rsid w:val="003E46EB"/>
    <w:rsid w:val="003E5016"/>
    <w:rsid w:val="003E61C1"/>
    <w:rsid w:val="003E6669"/>
    <w:rsid w:val="003E7225"/>
    <w:rsid w:val="003E77E5"/>
    <w:rsid w:val="003F0726"/>
    <w:rsid w:val="003F16FF"/>
    <w:rsid w:val="003F357D"/>
    <w:rsid w:val="003F36CA"/>
    <w:rsid w:val="003F415F"/>
    <w:rsid w:val="003F4C62"/>
    <w:rsid w:val="003F5C3C"/>
    <w:rsid w:val="003F6268"/>
    <w:rsid w:val="003F6978"/>
    <w:rsid w:val="003F6D3D"/>
    <w:rsid w:val="003F7463"/>
    <w:rsid w:val="003F746B"/>
    <w:rsid w:val="004001A2"/>
    <w:rsid w:val="004003DC"/>
    <w:rsid w:val="00400573"/>
    <w:rsid w:val="0040089A"/>
    <w:rsid w:val="00401170"/>
    <w:rsid w:val="00401720"/>
    <w:rsid w:val="00401E01"/>
    <w:rsid w:val="0040256A"/>
    <w:rsid w:val="004034CE"/>
    <w:rsid w:val="004036E0"/>
    <w:rsid w:val="00403F5D"/>
    <w:rsid w:val="00403F86"/>
    <w:rsid w:val="004064A5"/>
    <w:rsid w:val="00406672"/>
    <w:rsid w:val="0040699B"/>
    <w:rsid w:val="00406EC1"/>
    <w:rsid w:val="00407FE7"/>
    <w:rsid w:val="00410B7E"/>
    <w:rsid w:val="00410D35"/>
    <w:rsid w:val="00412867"/>
    <w:rsid w:val="00412CB5"/>
    <w:rsid w:val="0041368D"/>
    <w:rsid w:val="00413E0C"/>
    <w:rsid w:val="00414364"/>
    <w:rsid w:val="0041438C"/>
    <w:rsid w:val="004146F6"/>
    <w:rsid w:val="00414809"/>
    <w:rsid w:val="00414DA4"/>
    <w:rsid w:val="00416C71"/>
    <w:rsid w:val="00416F70"/>
    <w:rsid w:val="00417561"/>
    <w:rsid w:val="0041760D"/>
    <w:rsid w:val="00417E8B"/>
    <w:rsid w:val="004203BD"/>
    <w:rsid w:val="004222BD"/>
    <w:rsid w:val="004231DC"/>
    <w:rsid w:val="00423695"/>
    <w:rsid w:val="004237E3"/>
    <w:rsid w:val="00424873"/>
    <w:rsid w:val="0042514C"/>
    <w:rsid w:val="004258C7"/>
    <w:rsid w:val="00425B19"/>
    <w:rsid w:val="00425C27"/>
    <w:rsid w:val="0042611C"/>
    <w:rsid w:val="00426697"/>
    <w:rsid w:val="00426B77"/>
    <w:rsid w:val="004270CC"/>
    <w:rsid w:val="004307B2"/>
    <w:rsid w:val="0043099A"/>
    <w:rsid w:val="00431F84"/>
    <w:rsid w:val="00434DB8"/>
    <w:rsid w:val="00436831"/>
    <w:rsid w:val="00436934"/>
    <w:rsid w:val="00436B05"/>
    <w:rsid w:val="00440DEB"/>
    <w:rsid w:val="00441087"/>
    <w:rsid w:val="004413B2"/>
    <w:rsid w:val="00441409"/>
    <w:rsid w:val="00441F20"/>
    <w:rsid w:val="00441F7C"/>
    <w:rsid w:val="00441F7D"/>
    <w:rsid w:val="00443187"/>
    <w:rsid w:val="00444099"/>
    <w:rsid w:val="004449C3"/>
    <w:rsid w:val="00444D6D"/>
    <w:rsid w:val="004451A1"/>
    <w:rsid w:val="0044594F"/>
    <w:rsid w:val="00445A23"/>
    <w:rsid w:val="00445ED5"/>
    <w:rsid w:val="00446531"/>
    <w:rsid w:val="00446711"/>
    <w:rsid w:val="00446CAB"/>
    <w:rsid w:val="00446D2F"/>
    <w:rsid w:val="00447B45"/>
    <w:rsid w:val="00447E42"/>
    <w:rsid w:val="004503C1"/>
    <w:rsid w:val="004505E8"/>
    <w:rsid w:val="00452476"/>
    <w:rsid w:val="004533A0"/>
    <w:rsid w:val="00454348"/>
    <w:rsid w:val="004545C9"/>
    <w:rsid w:val="004555B6"/>
    <w:rsid w:val="00455D07"/>
    <w:rsid w:val="00455F65"/>
    <w:rsid w:val="00456290"/>
    <w:rsid w:val="00456346"/>
    <w:rsid w:val="00456372"/>
    <w:rsid w:val="00456D8E"/>
    <w:rsid w:val="0045726A"/>
    <w:rsid w:val="004579D5"/>
    <w:rsid w:val="0046022B"/>
    <w:rsid w:val="004602CA"/>
    <w:rsid w:val="004611E9"/>
    <w:rsid w:val="00461456"/>
    <w:rsid w:val="00462C5D"/>
    <w:rsid w:val="00462EEB"/>
    <w:rsid w:val="0046394A"/>
    <w:rsid w:val="00463C01"/>
    <w:rsid w:val="00464043"/>
    <w:rsid w:val="00465752"/>
    <w:rsid w:val="0046594E"/>
    <w:rsid w:val="00466AE1"/>
    <w:rsid w:val="00467F13"/>
    <w:rsid w:val="004703D0"/>
    <w:rsid w:val="004705C4"/>
    <w:rsid w:val="00470D61"/>
    <w:rsid w:val="00471D6D"/>
    <w:rsid w:val="0047204B"/>
    <w:rsid w:val="00472C9E"/>
    <w:rsid w:val="004752EA"/>
    <w:rsid w:val="00475309"/>
    <w:rsid w:val="0047704C"/>
    <w:rsid w:val="00481643"/>
    <w:rsid w:val="004822B5"/>
    <w:rsid w:val="0048265B"/>
    <w:rsid w:val="00482CD3"/>
    <w:rsid w:val="00483FDB"/>
    <w:rsid w:val="00484AE1"/>
    <w:rsid w:val="004854C2"/>
    <w:rsid w:val="00485C10"/>
    <w:rsid w:val="00487F82"/>
    <w:rsid w:val="0049088F"/>
    <w:rsid w:val="004921F6"/>
    <w:rsid w:val="00492603"/>
    <w:rsid w:val="0049297B"/>
    <w:rsid w:val="004939F6"/>
    <w:rsid w:val="00494A45"/>
    <w:rsid w:val="00494BCC"/>
    <w:rsid w:val="004959EF"/>
    <w:rsid w:val="004962E2"/>
    <w:rsid w:val="00496829"/>
    <w:rsid w:val="00497AF9"/>
    <w:rsid w:val="004A07E4"/>
    <w:rsid w:val="004A0B73"/>
    <w:rsid w:val="004A1495"/>
    <w:rsid w:val="004A1AA3"/>
    <w:rsid w:val="004A204E"/>
    <w:rsid w:val="004A26CD"/>
    <w:rsid w:val="004A284A"/>
    <w:rsid w:val="004A286B"/>
    <w:rsid w:val="004A2A39"/>
    <w:rsid w:val="004A2A6C"/>
    <w:rsid w:val="004A2B33"/>
    <w:rsid w:val="004A30A5"/>
    <w:rsid w:val="004A369F"/>
    <w:rsid w:val="004A40C3"/>
    <w:rsid w:val="004A475F"/>
    <w:rsid w:val="004A7F96"/>
    <w:rsid w:val="004B088C"/>
    <w:rsid w:val="004B1005"/>
    <w:rsid w:val="004B1153"/>
    <w:rsid w:val="004B1C83"/>
    <w:rsid w:val="004B2CD6"/>
    <w:rsid w:val="004B3D28"/>
    <w:rsid w:val="004B41F9"/>
    <w:rsid w:val="004B4364"/>
    <w:rsid w:val="004B5689"/>
    <w:rsid w:val="004B740A"/>
    <w:rsid w:val="004C0791"/>
    <w:rsid w:val="004C0F0D"/>
    <w:rsid w:val="004C1506"/>
    <w:rsid w:val="004C15B5"/>
    <w:rsid w:val="004C1A09"/>
    <w:rsid w:val="004C1CA2"/>
    <w:rsid w:val="004C1D8A"/>
    <w:rsid w:val="004C27E5"/>
    <w:rsid w:val="004C3A7E"/>
    <w:rsid w:val="004C3B03"/>
    <w:rsid w:val="004C463A"/>
    <w:rsid w:val="004C4BD9"/>
    <w:rsid w:val="004C515D"/>
    <w:rsid w:val="004C7245"/>
    <w:rsid w:val="004D02B1"/>
    <w:rsid w:val="004D09E5"/>
    <w:rsid w:val="004D0ED3"/>
    <w:rsid w:val="004D26EC"/>
    <w:rsid w:val="004D304A"/>
    <w:rsid w:val="004D33D6"/>
    <w:rsid w:val="004D347F"/>
    <w:rsid w:val="004D36A5"/>
    <w:rsid w:val="004D3ADE"/>
    <w:rsid w:val="004D40C9"/>
    <w:rsid w:val="004D466E"/>
    <w:rsid w:val="004D4B96"/>
    <w:rsid w:val="004D5201"/>
    <w:rsid w:val="004D57D7"/>
    <w:rsid w:val="004D5F57"/>
    <w:rsid w:val="004D5FAB"/>
    <w:rsid w:val="004D6F90"/>
    <w:rsid w:val="004D7856"/>
    <w:rsid w:val="004D7A9F"/>
    <w:rsid w:val="004D7B7A"/>
    <w:rsid w:val="004E04D1"/>
    <w:rsid w:val="004E1023"/>
    <w:rsid w:val="004E2060"/>
    <w:rsid w:val="004E262F"/>
    <w:rsid w:val="004E2FB1"/>
    <w:rsid w:val="004E54EF"/>
    <w:rsid w:val="004E5A76"/>
    <w:rsid w:val="004E5AA7"/>
    <w:rsid w:val="004E7546"/>
    <w:rsid w:val="004E7F51"/>
    <w:rsid w:val="004F0B86"/>
    <w:rsid w:val="004F0F4C"/>
    <w:rsid w:val="004F14D2"/>
    <w:rsid w:val="004F20C5"/>
    <w:rsid w:val="004F5A98"/>
    <w:rsid w:val="004F61B2"/>
    <w:rsid w:val="004F6444"/>
    <w:rsid w:val="004F6C2D"/>
    <w:rsid w:val="004F7935"/>
    <w:rsid w:val="004F7E22"/>
    <w:rsid w:val="00500182"/>
    <w:rsid w:val="005006F2"/>
    <w:rsid w:val="00501564"/>
    <w:rsid w:val="005019FE"/>
    <w:rsid w:val="0050285C"/>
    <w:rsid w:val="0050295B"/>
    <w:rsid w:val="005033AE"/>
    <w:rsid w:val="00503AE8"/>
    <w:rsid w:val="00503B28"/>
    <w:rsid w:val="00504948"/>
    <w:rsid w:val="00504E9C"/>
    <w:rsid w:val="0050543C"/>
    <w:rsid w:val="00505AE3"/>
    <w:rsid w:val="00505D7D"/>
    <w:rsid w:val="005063C6"/>
    <w:rsid w:val="00506B05"/>
    <w:rsid w:val="00506BEE"/>
    <w:rsid w:val="005075E9"/>
    <w:rsid w:val="0050779E"/>
    <w:rsid w:val="00507D51"/>
    <w:rsid w:val="0051082F"/>
    <w:rsid w:val="00510A0E"/>
    <w:rsid w:val="005117CC"/>
    <w:rsid w:val="00511C72"/>
    <w:rsid w:val="00511C7B"/>
    <w:rsid w:val="00512075"/>
    <w:rsid w:val="00512440"/>
    <w:rsid w:val="00512483"/>
    <w:rsid w:val="00512F32"/>
    <w:rsid w:val="00512F91"/>
    <w:rsid w:val="005143D3"/>
    <w:rsid w:val="00514D73"/>
    <w:rsid w:val="00514FB2"/>
    <w:rsid w:val="005155B4"/>
    <w:rsid w:val="0051659A"/>
    <w:rsid w:val="00516E49"/>
    <w:rsid w:val="0051760C"/>
    <w:rsid w:val="00517F13"/>
    <w:rsid w:val="005202DD"/>
    <w:rsid w:val="00520551"/>
    <w:rsid w:val="005206CF"/>
    <w:rsid w:val="00521B1C"/>
    <w:rsid w:val="00521DF5"/>
    <w:rsid w:val="00523475"/>
    <w:rsid w:val="00524311"/>
    <w:rsid w:val="00526F0C"/>
    <w:rsid w:val="00527570"/>
    <w:rsid w:val="00527DE4"/>
    <w:rsid w:val="00527F7D"/>
    <w:rsid w:val="00532539"/>
    <w:rsid w:val="00532F9F"/>
    <w:rsid w:val="0053362F"/>
    <w:rsid w:val="00533943"/>
    <w:rsid w:val="0053427C"/>
    <w:rsid w:val="00534650"/>
    <w:rsid w:val="00534AB5"/>
    <w:rsid w:val="00535046"/>
    <w:rsid w:val="005350C2"/>
    <w:rsid w:val="005350CE"/>
    <w:rsid w:val="005354D1"/>
    <w:rsid w:val="005354E6"/>
    <w:rsid w:val="00535811"/>
    <w:rsid w:val="00535841"/>
    <w:rsid w:val="00535E67"/>
    <w:rsid w:val="00536421"/>
    <w:rsid w:val="00536C95"/>
    <w:rsid w:val="00537707"/>
    <w:rsid w:val="0053774B"/>
    <w:rsid w:val="005377A8"/>
    <w:rsid w:val="00537B94"/>
    <w:rsid w:val="0054045A"/>
    <w:rsid w:val="00540D20"/>
    <w:rsid w:val="005427AA"/>
    <w:rsid w:val="00542A96"/>
    <w:rsid w:val="00542C15"/>
    <w:rsid w:val="005431EB"/>
    <w:rsid w:val="00543831"/>
    <w:rsid w:val="00544793"/>
    <w:rsid w:val="00544ACF"/>
    <w:rsid w:val="005463D4"/>
    <w:rsid w:val="0054648A"/>
    <w:rsid w:val="005472FC"/>
    <w:rsid w:val="0054768C"/>
    <w:rsid w:val="0055074C"/>
    <w:rsid w:val="00550C01"/>
    <w:rsid w:val="00550D28"/>
    <w:rsid w:val="00551BD1"/>
    <w:rsid w:val="00551C78"/>
    <w:rsid w:val="00552184"/>
    <w:rsid w:val="0055333D"/>
    <w:rsid w:val="00553462"/>
    <w:rsid w:val="0055418F"/>
    <w:rsid w:val="00555439"/>
    <w:rsid w:val="005557C0"/>
    <w:rsid w:val="0055673D"/>
    <w:rsid w:val="00556C37"/>
    <w:rsid w:val="0055794D"/>
    <w:rsid w:val="00557A0A"/>
    <w:rsid w:val="0056016C"/>
    <w:rsid w:val="00560CF5"/>
    <w:rsid w:val="005622AA"/>
    <w:rsid w:val="005622B8"/>
    <w:rsid w:val="00562A90"/>
    <w:rsid w:val="005630AF"/>
    <w:rsid w:val="005639C0"/>
    <w:rsid w:val="00565304"/>
    <w:rsid w:val="0056569E"/>
    <w:rsid w:val="00566A7A"/>
    <w:rsid w:val="0056710F"/>
    <w:rsid w:val="00567647"/>
    <w:rsid w:val="0057075B"/>
    <w:rsid w:val="00570C9B"/>
    <w:rsid w:val="00570F51"/>
    <w:rsid w:val="00571574"/>
    <w:rsid w:val="0057193D"/>
    <w:rsid w:val="00571AC7"/>
    <w:rsid w:val="00571ADC"/>
    <w:rsid w:val="0057204B"/>
    <w:rsid w:val="005721D8"/>
    <w:rsid w:val="00573282"/>
    <w:rsid w:val="005735A2"/>
    <w:rsid w:val="00573788"/>
    <w:rsid w:val="00573F6A"/>
    <w:rsid w:val="00574499"/>
    <w:rsid w:val="005751A1"/>
    <w:rsid w:val="00575654"/>
    <w:rsid w:val="00575CC9"/>
    <w:rsid w:val="005766C3"/>
    <w:rsid w:val="00576805"/>
    <w:rsid w:val="005771E0"/>
    <w:rsid w:val="005774C0"/>
    <w:rsid w:val="00577B61"/>
    <w:rsid w:val="00577D68"/>
    <w:rsid w:val="00577FCF"/>
    <w:rsid w:val="00580067"/>
    <w:rsid w:val="005809DE"/>
    <w:rsid w:val="00580E31"/>
    <w:rsid w:val="00581781"/>
    <w:rsid w:val="0058285F"/>
    <w:rsid w:val="00583950"/>
    <w:rsid w:val="00583A5E"/>
    <w:rsid w:val="00584D15"/>
    <w:rsid w:val="00585436"/>
    <w:rsid w:val="00585A8D"/>
    <w:rsid w:val="00585B1F"/>
    <w:rsid w:val="0058651D"/>
    <w:rsid w:val="00586927"/>
    <w:rsid w:val="00586FB4"/>
    <w:rsid w:val="00586FF6"/>
    <w:rsid w:val="0058787E"/>
    <w:rsid w:val="0059069C"/>
    <w:rsid w:val="00590767"/>
    <w:rsid w:val="00590B55"/>
    <w:rsid w:val="005911B9"/>
    <w:rsid w:val="00591322"/>
    <w:rsid w:val="0059263B"/>
    <w:rsid w:val="00592EEA"/>
    <w:rsid w:val="00593E10"/>
    <w:rsid w:val="00593E35"/>
    <w:rsid w:val="00593EE7"/>
    <w:rsid w:val="00594B16"/>
    <w:rsid w:val="00595FA6"/>
    <w:rsid w:val="00596A4D"/>
    <w:rsid w:val="00596EC7"/>
    <w:rsid w:val="005A00FB"/>
    <w:rsid w:val="005A093E"/>
    <w:rsid w:val="005A0A59"/>
    <w:rsid w:val="005A15B8"/>
    <w:rsid w:val="005A180B"/>
    <w:rsid w:val="005A244B"/>
    <w:rsid w:val="005A2C4D"/>
    <w:rsid w:val="005A2DCB"/>
    <w:rsid w:val="005A3668"/>
    <w:rsid w:val="005A49DB"/>
    <w:rsid w:val="005A728B"/>
    <w:rsid w:val="005A7E8A"/>
    <w:rsid w:val="005A7EF9"/>
    <w:rsid w:val="005B1B12"/>
    <w:rsid w:val="005B242C"/>
    <w:rsid w:val="005B36AC"/>
    <w:rsid w:val="005B47BC"/>
    <w:rsid w:val="005B4A25"/>
    <w:rsid w:val="005B5C1D"/>
    <w:rsid w:val="005B645D"/>
    <w:rsid w:val="005B6D28"/>
    <w:rsid w:val="005B78FB"/>
    <w:rsid w:val="005C0E09"/>
    <w:rsid w:val="005C1006"/>
    <w:rsid w:val="005C222F"/>
    <w:rsid w:val="005C2723"/>
    <w:rsid w:val="005C2937"/>
    <w:rsid w:val="005C36B7"/>
    <w:rsid w:val="005C3D7D"/>
    <w:rsid w:val="005C4347"/>
    <w:rsid w:val="005C449F"/>
    <w:rsid w:val="005C5729"/>
    <w:rsid w:val="005C5736"/>
    <w:rsid w:val="005C5801"/>
    <w:rsid w:val="005C657B"/>
    <w:rsid w:val="005C6846"/>
    <w:rsid w:val="005C6A51"/>
    <w:rsid w:val="005C6E28"/>
    <w:rsid w:val="005C72AA"/>
    <w:rsid w:val="005D06FB"/>
    <w:rsid w:val="005D0745"/>
    <w:rsid w:val="005D1356"/>
    <w:rsid w:val="005D1633"/>
    <w:rsid w:val="005D1E32"/>
    <w:rsid w:val="005D241F"/>
    <w:rsid w:val="005D25B6"/>
    <w:rsid w:val="005D295A"/>
    <w:rsid w:val="005D2F76"/>
    <w:rsid w:val="005D3B73"/>
    <w:rsid w:val="005D4247"/>
    <w:rsid w:val="005D44F2"/>
    <w:rsid w:val="005D5142"/>
    <w:rsid w:val="005D515E"/>
    <w:rsid w:val="005D58F5"/>
    <w:rsid w:val="005D5E94"/>
    <w:rsid w:val="005D77BA"/>
    <w:rsid w:val="005D7F5E"/>
    <w:rsid w:val="005E03B6"/>
    <w:rsid w:val="005E0482"/>
    <w:rsid w:val="005E09F6"/>
    <w:rsid w:val="005E0BAC"/>
    <w:rsid w:val="005E1C9C"/>
    <w:rsid w:val="005E33D2"/>
    <w:rsid w:val="005E3BE1"/>
    <w:rsid w:val="005E5E10"/>
    <w:rsid w:val="005E7B1D"/>
    <w:rsid w:val="005E7C26"/>
    <w:rsid w:val="005F1E74"/>
    <w:rsid w:val="005F29AF"/>
    <w:rsid w:val="005F2D98"/>
    <w:rsid w:val="005F310D"/>
    <w:rsid w:val="005F3798"/>
    <w:rsid w:val="005F38E6"/>
    <w:rsid w:val="005F5839"/>
    <w:rsid w:val="005F5984"/>
    <w:rsid w:val="005F5C5B"/>
    <w:rsid w:val="005F61D5"/>
    <w:rsid w:val="005F6C08"/>
    <w:rsid w:val="006002E0"/>
    <w:rsid w:val="00600CB9"/>
    <w:rsid w:val="00601305"/>
    <w:rsid w:val="006024A6"/>
    <w:rsid w:val="00604AAB"/>
    <w:rsid w:val="0060572E"/>
    <w:rsid w:val="006057BE"/>
    <w:rsid w:val="00606045"/>
    <w:rsid w:val="00606F37"/>
    <w:rsid w:val="00606FF4"/>
    <w:rsid w:val="00607015"/>
    <w:rsid w:val="006075DD"/>
    <w:rsid w:val="00610B59"/>
    <w:rsid w:val="00611F07"/>
    <w:rsid w:val="00612D12"/>
    <w:rsid w:val="0061336F"/>
    <w:rsid w:val="006138DF"/>
    <w:rsid w:val="00613B2B"/>
    <w:rsid w:val="0061569E"/>
    <w:rsid w:val="00615781"/>
    <w:rsid w:val="00615A19"/>
    <w:rsid w:val="00617118"/>
    <w:rsid w:val="006174FE"/>
    <w:rsid w:val="00617710"/>
    <w:rsid w:val="00617F2A"/>
    <w:rsid w:val="00617F41"/>
    <w:rsid w:val="00620D40"/>
    <w:rsid w:val="00620E96"/>
    <w:rsid w:val="0062193D"/>
    <w:rsid w:val="006219DA"/>
    <w:rsid w:val="00621E41"/>
    <w:rsid w:val="006240F6"/>
    <w:rsid w:val="0062455B"/>
    <w:rsid w:val="00624959"/>
    <w:rsid w:val="00624FB2"/>
    <w:rsid w:val="0062543F"/>
    <w:rsid w:val="006263D8"/>
    <w:rsid w:val="0062694E"/>
    <w:rsid w:val="006269BF"/>
    <w:rsid w:val="00630BC6"/>
    <w:rsid w:val="0063109C"/>
    <w:rsid w:val="00631A67"/>
    <w:rsid w:val="00631D1D"/>
    <w:rsid w:val="00632812"/>
    <w:rsid w:val="00634154"/>
    <w:rsid w:val="00636A35"/>
    <w:rsid w:val="00637B20"/>
    <w:rsid w:val="0064066B"/>
    <w:rsid w:val="00640C17"/>
    <w:rsid w:val="006418DC"/>
    <w:rsid w:val="00641A50"/>
    <w:rsid w:val="0064251D"/>
    <w:rsid w:val="00642A69"/>
    <w:rsid w:val="00642F00"/>
    <w:rsid w:val="0064377F"/>
    <w:rsid w:val="00643FFD"/>
    <w:rsid w:val="00644267"/>
    <w:rsid w:val="006448AA"/>
    <w:rsid w:val="006452EF"/>
    <w:rsid w:val="006465CB"/>
    <w:rsid w:val="00646C17"/>
    <w:rsid w:val="00647172"/>
    <w:rsid w:val="0064746E"/>
    <w:rsid w:val="00647860"/>
    <w:rsid w:val="006506FD"/>
    <w:rsid w:val="006507D0"/>
    <w:rsid w:val="006513EF"/>
    <w:rsid w:val="0065153C"/>
    <w:rsid w:val="00651E88"/>
    <w:rsid w:val="006525FB"/>
    <w:rsid w:val="00652807"/>
    <w:rsid w:val="006540F3"/>
    <w:rsid w:val="0065679A"/>
    <w:rsid w:val="006570B1"/>
    <w:rsid w:val="0065790A"/>
    <w:rsid w:val="00657CAB"/>
    <w:rsid w:val="0066006E"/>
    <w:rsid w:val="00660DC6"/>
    <w:rsid w:val="0066248C"/>
    <w:rsid w:val="00662EA2"/>
    <w:rsid w:val="00662EA4"/>
    <w:rsid w:val="00662EE5"/>
    <w:rsid w:val="006635C2"/>
    <w:rsid w:val="006638FD"/>
    <w:rsid w:val="00664167"/>
    <w:rsid w:val="00664546"/>
    <w:rsid w:val="00664DA0"/>
    <w:rsid w:val="006656F2"/>
    <w:rsid w:val="00665981"/>
    <w:rsid w:val="0066614B"/>
    <w:rsid w:val="00666942"/>
    <w:rsid w:val="00666ED1"/>
    <w:rsid w:val="00666F56"/>
    <w:rsid w:val="00667094"/>
    <w:rsid w:val="00667EA4"/>
    <w:rsid w:val="006707F1"/>
    <w:rsid w:val="00670C51"/>
    <w:rsid w:val="0067122A"/>
    <w:rsid w:val="00671297"/>
    <w:rsid w:val="00671910"/>
    <w:rsid w:val="006735C7"/>
    <w:rsid w:val="006739BD"/>
    <w:rsid w:val="00674692"/>
    <w:rsid w:val="00675E58"/>
    <w:rsid w:val="006767F4"/>
    <w:rsid w:val="00676F06"/>
    <w:rsid w:val="0067796E"/>
    <w:rsid w:val="00677E68"/>
    <w:rsid w:val="0068075A"/>
    <w:rsid w:val="0068124A"/>
    <w:rsid w:val="0068215E"/>
    <w:rsid w:val="00682A3F"/>
    <w:rsid w:val="00682D3E"/>
    <w:rsid w:val="00682FC8"/>
    <w:rsid w:val="00685979"/>
    <w:rsid w:val="006860F0"/>
    <w:rsid w:val="0068634D"/>
    <w:rsid w:val="00686EC7"/>
    <w:rsid w:val="006910FF"/>
    <w:rsid w:val="006913BD"/>
    <w:rsid w:val="00691D21"/>
    <w:rsid w:val="00692347"/>
    <w:rsid w:val="006935DD"/>
    <w:rsid w:val="006939DD"/>
    <w:rsid w:val="00693A71"/>
    <w:rsid w:val="00693B45"/>
    <w:rsid w:val="00693E0E"/>
    <w:rsid w:val="00694627"/>
    <w:rsid w:val="0069732E"/>
    <w:rsid w:val="00697D15"/>
    <w:rsid w:val="006A15EA"/>
    <w:rsid w:val="006A1865"/>
    <w:rsid w:val="006A2B50"/>
    <w:rsid w:val="006A3479"/>
    <w:rsid w:val="006A3650"/>
    <w:rsid w:val="006A3AEC"/>
    <w:rsid w:val="006A3B68"/>
    <w:rsid w:val="006A3CAE"/>
    <w:rsid w:val="006A3D5C"/>
    <w:rsid w:val="006A40FA"/>
    <w:rsid w:val="006A4D1A"/>
    <w:rsid w:val="006A58C2"/>
    <w:rsid w:val="006A5D84"/>
    <w:rsid w:val="006A5FE8"/>
    <w:rsid w:val="006A63CF"/>
    <w:rsid w:val="006A682B"/>
    <w:rsid w:val="006A70AC"/>
    <w:rsid w:val="006A77DA"/>
    <w:rsid w:val="006A7B00"/>
    <w:rsid w:val="006B0B48"/>
    <w:rsid w:val="006B0E44"/>
    <w:rsid w:val="006B2180"/>
    <w:rsid w:val="006B21E4"/>
    <w:rsid w:val="006B238A"/>
    <w:rsid w:val="006B2D86"/>
    <w:rsid w:val="006B32FF"/>
    <w:rsid w:val="006B3AAE"/>
    <w:rsid w:val="006B58FF"/>
    <w:rsid w:val="006B5D7A"/>
    <w:rsid w:val="006B70C0"/>
    <w:rsid w:val="006B7137"/>
    <w:rsid w:val="006B72B2"/>
    <w:rsid w:val="006B72B4"/>
    <w:rsid w:val="006C019E"/>
    <w:rsid w:val="006C029E"/>
    <w:rsid w:val="006C1B77"/>
    <w:rsid w:val="006C1D0C"/>
    <w:rsid w:val="006C223C"/>
    <w:rsid w:val="006C2D99"/>
    <w:rsid w:val="006C3222"/>
    <w:rsid w:val="006C3BFB"/>
    <w:rsid w:val="006C44F9"/>
    <w:rsid w:val="006C57F1"/>
    <w:rsid w:val="006C5939"/>
    <w:rsid w:val="006C6666"/>
    <w:rsid w:val="006C6E8D"/>
    <w:rsid w:val="006C7FC6"/>
    <w:rsid w:val="006D17F7"/>
    <w:rsid w:val="006D1A2D"/>
    <w:rsid w:val="006D1AD8"/>
    <w:rsid w:val="006D285A"/>
    <w:rsid w:val="006D37ED"/>
    <w:rsid w:val="006D381F"/>
    <w:rsid w:val="006D590F"/>
    <w:rsid w:val="006D7158"/>
    <w:rsid w:val="006D7627"/>
    <w:rsid w:val="006D7F65"/>
    <w:rsid w:val="006E0AC1"/>
    <w:rsid w:val="006E0CFD"/>
    <w:rsid w:val="006E0F81"/>
    <w:rsid w:val="006E15BB"/>
    <w:rsid w:val="006E18A4"/>
    <w:rsid w:val="006E2231"/>
    <w:rsid w:val="006E27BF"/>
    <w:rsid w:val="006E2F2E"/>
    <w:rsid w:val="006E2F57"/>
    <w:rsid w:val="006E3400"/>
    <w:rsid w:val="006E34B2"/>
    <w:rsid w:val="006E40B9"/>
    <w:rsid w:val="006E4269"/>
    <w:rsid w:val="006E59D6"/>
    <w:rsid w:val="006E5D29"/>
    <w:rsid w:val="006E65D4"/>
    <w:rsid w:val="006E6B2F"/>
    <w:rsid w:val="006E741A"/>
    <w:rsid w:val="006E7EEE"/>
    <w:rsid w:val="006F023F"/>
    <w:rsid w:val="006F1575"/>
    <w:rsid w:val="006F1963"/>
    <w:rsid w:val="006F2551"/>
    <w:rsid w:val="006F2F88"/>
    <w:rsid w:val="006F3570"/>
    <w:rsid w:val="006F36ED"/>
    <w:rsid w:val="006F408C"/>
    <w:rsid w:val="006F4BB6"/>
    <w:rsid w:val="006F6613"/>
    <w:rsid w:val="006F7231"/>
    <w:rsid w:val="006F7451"/>
    <w:rsid w:val="006F7983"/>
    <w:rsid w:val="00700E33"/>
    <w:rsid w:val="007011BA"/>
    <w:rsid w:val="0070138A"/>
    <w:rsid w:val="00703DD6"/>
    <w:rsid w:val="00703ED2"/>
    <w:rsid w:val="007065E2"/>
    <w:rsid w:val="00706B61"/>
    <w:rsid w:val="007103AD"/>
    <w:rsid w:val="00711145"/>
    <w:rsid w:val="007121B1"/>
    <w:rsid w:val="00712591"/>
    <w:rsid w:val="007127EB"/>
    <w:rsid w:val="00712A63"/>
    <w:rsid w:val="00712F18"/>
    <w:rsid w:val="00714B51"/>
    <w:rsid w:val="00714C5B"/>
    <w:rsid w:val="00715F22"/>
    <w:rsid w:val="007160D2"/>
    <w:rsid w:val="007207E0"/>
    <w:rsid w:val="00720ACB"/>
    <w:rsid w:val="00722892"/>
    <w:rsid w:val="00722C6A"/>
    <w:rsid w:val="007231A3"/>
    <w:rsid w:val="007249B5"/>
    <w:rsid w:val="00724FD4"/>
    <w:rsid w:val="00725022"/>
    <w:rsid w:val="007266FC"/>
    <w:rsid w:val="00726D42"/>
    <w:rsid w:val="00727453"/>
    <w:rsid w:val="00727F76"/>
    <w:rsid w:val="0073034F"/>
    <w:rsid w:val="0073052F"/>
    <w:rsid w:val="00730E76"/>
    <w:rsid w:val="007314F8"/>
    <w:rsid w:val="00732DCF"/>
    <w:rsid w:val="00732EC2"/>
    <w:rsid w:val="00733310"/>
    <w:rsid w:val="007338B2"/>
    <w:rsid w:val="007346AE"/>
    <w:rsid w:val="00734C8C"/>
    <w:rsid w:val="00734DB6"/>
    <w:rsid w:val="00735D64"/>
    <w:rsid w:val="00737BD8"/>
    <w:rsid w:val="00740345"/>
    <w:rsid w:val="0074060F"/>
    <w:rsid w:val="00740F5D"/>
    <w:rsid w:val="00740FA3"/>
    <w:rsid w:val="00741594"/>
    <w:rsid w:val="007417A3"/>
    <w:rsid w:val="00741E17"/>
    <w:rsid w:val="007421D7"/>
    <w:rsid w:val="007422AE"/>
    <w:rsid w:val="007425D6"/>
    <w:rsid w:val="0074279B"/>
    <w:rsid w:val="00742C38"/>
    <w:rsid w:val="007437BE"/>
    <w:rsid w:val="00743E50"/>
    <w:rsid w:val="00744BCC"/>
    <w:rsid w:val="00745095"/>
    <w:rsid w:val="00745723"/>
    <w:rsid w:val="0074678F"/>
    <w:rsid w:val="00746F72"/>
    <w:rsid w:val="007477E3"/>
    <w:rsid w:val="00747849"/>
    <w:rsid w:val="00747A94"/>
    <w:rsid w:val="00747DF3"/>
    <w:rsid w:val="007503C5"/>
    <w:rsid w:val="0075185B"/>
    <w:rsid w:val="007518EA"/>
    <w:rsid w:val="00751F99"/>
    <w:rsid w:val="00753750"/>
    <w:rsid w:val="007542DA"/>
    <w:rsid w:val="0075547A"/>
    <w:rsid w:val="00755E57"/>
    <w:rsid w:val="00756218"/>
    <w:rsid w:val="007562B5"/>
    <w:rsid w:val="007564EC"/>
    <w:rsid w:val="00757240"/>
    <w:rsid w:val="00757854"/>
    <w:rsid w:val="00760D58"/>
    <w:rsid w:val="0076174D"/>
    <w:rsid w:val="00761AA5"/>
    <w:rsid w:val="00763591"/>
    <w:rsid w:val="007647E4"/>
    <w:rsid w:val="00764F62"/>
    <w:rsid w:val="0076552D"/>
    <w:rsid w:val="007660FB"/>
    <w:rsid w:val="007666E6"/>
    <w:rsid w:val="00767605"/>
    <w:rsid w:val="007679F5"/>
    <w:rsid w:val="00770071"/>
    <w:rsid w:val="00770AF4"/>
    <w:rsid w:val="0077139E"/>
    <w:rsid w:val="007715A1"/>
    <w:rsid w:val="007727C0"/>
    <w:rsid w:val="00772A2E"/>
    <w:rsid w:val="007737E0"/>
    <w:rsid w:val="00773833"/>
    <w:rsid w:val="00773CFC"/>
    <w:rsid w:val="00773F8F"/>
    <w:rsid w:val="0077402F"/>
    <w:rsid w:val="00774A3F"/>
    <w:rsid w:val="00774B40"/>
    <w:rsid w:val="00774DD0"/>
    <w:rsid w:val="007754B8"/>
    <w:rsid w:val="007756A1"/>
    <w:rsid w:val="00776580"/>
    <w:rsid w:val="00776F66"/>
    <w:rsid w:val="00777EE2"/>
    <w:rsid w:val="007812F6"/>
    <w:rsid w:val="007815CB"/>
    <w:rsid w:val="00781894"/>
    <w:rsid w:val="0078222F"/>
    <w:rsid w:val="00782E64"/>
    <w:rsid w:val="00783332"/>
    <w:rsid w:val="00783805"/>
    <w:rsid w:val="00783E90"/>
    <w:rsid w:val="0078427D"/>
    <w:rsid w:val="00784967"/>
    <w:rsid w:val="00784DC7"/>
    <w:rsid w:val="00785419"/>
    <w:rsid w:val="00785636"/>
    <w:rsid w:val="00785ABA"/>
    <w:rsid w:val="00785BA4"/>
    <w:rsid w:val="007867A9"/>
    <w:rsid w:val="007872BC"/>
    <w:rsid w:val="00787F29"/>
    <w:rsid w:val="00791453"/>
    <w:rsid w:val="007918C0"/>
    <w:rsid w:val="00791A72"/>
    <w:rsid w:val="00791DA3"/>
    <w:rsid w:val="007923EC"/>
    <w:rsid w:val="00792E31"/>
    <w:rsid w:val="0079340E"/>
    <w:rsid w:val="00794719"/>
    <w:rsid w:val="007947A9"/>
    <w:rsid w:val="00794C79"/>
    <w:rsid w:val="00794D95"/>
    <w:rsid w:val="00795066"/>
    <w:rsid w:val="00795810"/>
    <w:rsid w:val="00796891"/>
    <w:rsid w:val="00796AD7"/>
    <w:rsid w:val="00796C37"/>
    <w:rsid w:val="00796DD2"/>
    <w:rsid w:val="00796F24"/>
    <w:rsid w:val="007975B2"/>
    <w:rsid w:val="00797609"/>
    <w:rsid w:val="00797D74"/>
    <w:rsid w:val="00797F36"/>
    <w:rsid w:val="00797F37"/>
    <w:rsid w:val="00797F4D"/>
    <w:rsid w:val="007A08E0"/>
    <w:rsid w:val="007A0D25"/>
    <w:rsid w:val="007A0E6C"/>
    <w:rsid w:val="007A3018"/>
    <w:rsid w:val="007A362F"/>
    <w:rsid w:val="007A5C47"/>
    <w:rsid w:val="007A603F"/>
    <w:rsid w:val="007A6488"/>
    <w:rsid w:val="007A6F03"/>
    <w:rsid w:val="007A774D"/>
    <w:rsid w:val="007B018B"/>
    <w:rsid w:val="007B17C6"/>
    <w:rsid w:val="007B199D"/>
    <w:rsid w:val="007B1D95"/>
    <w:rsid w:val="007B228D"/>
    <w:rsid w:val="007B2828"/>
    <w:rsid w:val="007B31FA"/>
    <w:rsid w:val="007B3475"/>
    <w:rsid w:val="007B4012"/>
    <w:rsid w:val="007B4890"/>
    <w:rsid w:val="007B4E89"/>
    <w:rsid w:val="007B59F4"/>
    <w:rsid w:val="007B5EC3"/>
    <w:rsid w:val="007B61D2"/>
    <w:rsid w:val="007B6555"/>
    <w:rsid w:val="007B74F2"/>
    <w:rsid w:val="007B771B"/>
    <w:rsid w:val="007B79D7"/>
    <w:rsid w:val="007C05E2"/>
    <w:rsid w:val="007C2217"/>
    <w:rsid w:val="007C3B5A"/>
    <w:rsid w:val="007C4B9D"/>
    <w:rsid w:val="007C5628"/>
    <w:rsid w:val="007C5777"/>
    <w:rsid w:val="007C7153"/>
    <w:rsid w:val="007C7748"/>
    <w:rsid w:val="007C7EEF"/>
    <w:rsid w:val="007C7FFE"/>
    <w:rsid w:val="007D0D36"/>
    <w:rsid w:val="007D0E1A"/>
    <w:rsid w:val="007D1467"/>
    <w:rsid w:val="007D1962"/>
    <w:rsid w:val="007D26D2"/>
    <w:rsid w:val="007D36D2"/>
    <w:rsid w:val="007D5707"/>
    <w:rsid w:val="007D577E"/>
    <w:rsid w:val="007D59AC"/>
    <w:rsid w:val="007D5B63"/>
    <w:rsid w:val="007D626F"/>
    <w:rsid w:val="007D69CA"/>
    <w:rsid w:val="007D727D"/>
    <w:rsid w:val="007D78CA"/>
    <w:rsid w:val="007D7F8F"/>
    <w:rsid w:val="007E02D8"/>
    <w:rsid w:val="007E0DEE"/>
    <w:rsid w:val="007E2220"/>
    <w:rsid w:val="007E3F60"/>
    <w:rsid w:val="007E4039"/>
    <w:rsid w:val="007E47AD"/>
    <w:rsid w:val="007E5E80"/>
    <w:rsid w:val="007E72FA"/>
    <w:rsid w:val="007F0375"/>
    <w:rsid w:val="007F135A"/>
    <w:rsid w:val="007F28BA"/>
    <w:rsid w:val="007F2D25"/>
    <w:rsid w:val="007F2E39"/>
    <w:rsid w:val="007F349A"/>
    <w:rsid w:val="007F44D3"/>
    <w:rsid w:val="007F4C5D"/>
    <w:rsid w:val="007F5A0D"/>
    <w:rsid w:val="007F77F7"/>
    <w:rsid w:val="007F7D9F"/>
    <w:rsid w:val="0080005D"/>
    <w:rsid w:val="0080007B"/>
    <w:rsid w:val="008009D8"/>
    <w:rsid w:val="00800B89"/>
    <w:rsid w:val="00800CFD"/>
    <w:rsid w:val="00801A41"/>
    <w:rsid w:val="008033CA"/>
    <w:rsid w:val="00803F8F"/>
    <w:rsid w:val="008048ED"/>
    <w:rsid w:val="0080496D"/>
    <w:rsid w:val="00804CDC"/>
    <w:rsid w:val="008068EB"/>
    <w:rsid w:val="00806FB4"/>
    <w:rsid w:val="00806FFF"/>
    <w:rsid w:val="008123DF"/>
    <w:rsid w:val="00815E58"/>
    <w:rsid w:val="0081673B"/>
    <w:rsid w:val="00816981"/>
    <w:rsid w:val="008170DB"/>
    <w:rsid w:val="0081744C"/>
    <w:rsid w:val="008220CF"/>
    <w:rsid w:val="00822124"/>
    <w:rsid w:val="0082341C"/>
    <w:rsid w:val="00823B62"/>
    <w:rsid w:val="0082404A"/>
    <w:rsid w:val="008241B1"/>
    <w:rsid w:val="00825377"/>
    <w:rsid w:val="008254E7"/>
    <w:rsid w:val="008265C3"/>
    <w:rsid w:val="008268C7"/>
    <w:rsid w:val="00830C71"/>
    <w:rsid w:val="00831761"/>
    <w:rsid w:val="0083230F"/>
    <w:rsid w:val="008325D7"/>
    <w:rsid w:val="008326F6"/>
    <w:rsid w:val="00832925"/>
    <w:rsid w:val="00832D89"/>
    <w:rsid w:val="008337E7"/>
    <w:rsid w:val="00833886"/>
    <w:rsid w:val="00833FE7"/>
    <w:rsid w:val="0083429D"/>
    <w:rsid w:val="00834C32"/>
    <w:rsid w:val="008350F1"/>
    <w:rsid w:val="00836197"/>
    <w:rsid w:val="00836C4F"/>
    <w:rsid w:val="00836E97"/>
    <w:rsid w:val="008419A8"/>
    <w:rsid w:val="0084269F"/>
    <w:rsid w:val="008434C8"/>
    <w:rsid w:val="0084352D"/>
    <w:rsid w:val="00843A9A"/>
    <w:rsid w:val="008442B3"/>
    <w:rsid w:val="008451BB"/>
    <w:rsid w:val="008461AA"/>
    <w:rsid w:val="00846D0F"/>
    <w:rsid w:val="008506D8"/>
    <w:rsid w:val="008513EC"/>
    <w:rsid w:val="00851C22"/>
    <w:rsid w:val="00852F07"/>
    <w:rsid w:val="0085351F"/>
    <w:rsid w:val="008537D1"/>
    <w:rsid w:val="00854B56"/>
    <w:rsid w:val="00855716"/>
    <w:rsid w:val="008569A9"/>
    <w:rsid w:val="0085726C"/>
    <w:rsid w:val="0085796C"/>
    <w:rsid w:val="00857C3F"/>
    <w:rsid w:val="008603BE"/>
    <w:rsid w:val="008605FC"/>
    <w:rsid w:val="008608AC"/>
    <w:rsid w:val="008618B1"/>
    <w:rsid w:val="00861981"/>
    <w:rsid w:val="00861F6F"/>
    <w:rsid w:val="008620AA"/>
    <w:rsid w:val="008620B4"/>
    <w:rsid w:val="00862BA5"/>
    <w:rsid w:val="00862E2C"/>
    <w:rsid w:val="008636A3"/>
    <w:rsid w:val="00863E97"/>
    <w:rsid w:val="00864462"/>
    <w:rsid w:val="008644B6"/>
    <w:rsid w:val="00864603"/>
    <w:rsid w:val="00864BC6"/>
    <w:rsid w:val="00865171"/>
    <w:rsid w:val="00865646"/>
    <w:rsid w:val="00865D8E"/>
    <w:rsid w:val="00866A14"/>
    <w:rsid w:val="00866A89"/>
    <w:rsid w:val="00866BCC"/>
    <w:rsid w:val="008673A6"/>
    <w:rsid w:val="00867C7F"/>
    <w:rsid w:val="0087036C"/>
    <w:rsid w:val="008709FF"/>
    <w:rsid w:val="00870CD3"/>
    <w:rsid w:val="00870F68"/>
    <w:rsid w:val="008719B0"/>
    <w:rsid w:val="00871A03"/>
    <w:rsid w:val="00872C90"/>
    <w:rsid w:val="00875696"/>
    <w:rsid w:val="0087588C"/>
    <w:rsid w:val="00876885"/>
    <w:rsid w:val="00877649"/>
    <w:rsid w:val="00877CA4"/>
    <w:rsid w:val="0088041A"/>
    <w:rsid w:val="00880F87"/>
    <w:rsid w:val="00881CF0"/>
    <w:rsid w:val="00882B02"/>
    <w:rsid w:val="0088313A"/>
    <w:rsid w:val="008836B4"/>
    <w:rsid w:val="00883B7D"/>
    <w:rsid w:val="0088406F"/>
    <w:rsid w:val="0088433C"/>
    <w:rsid w:val="00884654"/>
    <w:rsid w:val="0088504E"/>
    <w:rsid w:val="0088582B"/>
    <w:rsid w:val="0088685B"/>
    <w:rsid w:val="00886FCD"/>
    <w:rsid w:val="008873BC"/>
    <w:rsid w:val="008874F7"/>
    <w:rsid w:val="008876A1"/>
    <w:rsid w:val="00887E44"/>
    <w:rsid w:val="00890EC4"/>
    <w:rsid w:val="00890F64"/>
    <w:rsid w:val="008917F6"/>
    <w:rsid w:val="00891FE6"/>
    <w:rsid w:val="0089237B"/>
    <w:rsid w:val="00894518"/>
    <w:rsid w:val="0089574C"/>
    <w:rsid w:val="008964BE"/>
    <w:rsid w:val="008972E2"/>
    <w:rsid w:val="00897344"/>
    <w:rsid w:val="008A0372"/>
    <w:rsid w:val="008A0A6D"/>
    <w:rsid w:val="008A1220"/>
    <w:rsid w:val="008A134A"/>
    <w:rsid w:val="008A1658"/>
    <w:rsid w:val="008A1EE3"/>
    <w:rsid w:val="008A29CD"/>
    <w:rsid w:val="008A3432"/>
    <w:rsid w:val="008A357B"/>
    <w:rsid w:val="008A37CC"/>
    <w:rsid w:val="008A3AE7"/>
    <w:rsid w:val="008A46F4"/>
    <w:rsid w:val="008A4B68"/>
    <w:rsid w:val="008A4BF1"/>
    <w:rsid w:val="008A4E3A"/>
    <w:rsid w:val="008A519A"/>
    <w:rsid w:val="008A5E2D"/>
    <w:rsid w:val="008B01DB"/>
    <w:rsid w:val="008B080F"/>
    <w:rsid w:val="008B1E66"/>
    <w:rsid w:val="008B1EE3"/>
    <w:rsid w:val="008B1F3C"/>
    <w:rsid w:val="008B2820"/>
    <w:rsid w:val="008B299A"/>
    <w:rsid w:val="008B2AF0"/>
    <w:rsid w:val="008B2C4F"/>
    <w:rsid w:val="008B2E67"/>
    <w:rsid w:val="008B372D"/>
    <w:rsid w:val="008B377E"/>
    <w:rsid w:val="008B3E44"/>
    <w:rsid w:val="008B5367"/>
    <w:rsid w:val="008B7299"/>
    <w:rsid w:val="008C0333"/>
    <w:rsid w:val="008C0EA6"/>
    <w:rsid w:val="008C0F1D"/>
    <w:rsid w:val="008C1535"/>
    <w:rsid w:val="008C1AAF"/>
    <w:rsid w:val="008C1F93"/>
    <w:rsid w:val="008C297E"/>
    <w:rsid w:val="008C2C5B"/>
    <w:rsid w:val="008C2E42"/>
    <w:rsid w:val="008C356E"/>
    <w:rsid w:val="008C3A19"/>
    <w:rsid w:val="008C47D2"/>
    <w:rsid w:val="008C7A90"/>
    <w:rsid w:val="008C7AB4"/>
    <w:rsid w:val="008D0C9B"/>
    <w:rsid w:val="008D1C12"/>
    <w:rsid w:val="008D2877"/>
    <w:rsid w:val="008D36DE"/>
    <w:rsid w:val="008D496D"/>
    <w:rsid w:val="008D68CE"/>
    <w:rsid w:val="008D6BFC"/>
    <w:rsid w:val="008D79C0"/>
    <w:rsid w:val="008D7A8C"/>
    <w:rsid w:val="008E0096"/>
    <w:rsid w:val="008E0E47"/>
    <w:rsid w:val="008E0E64"/>
    <w:rsid w:val="008E1D4B"/>
    <w:rsid w:val="008E219A"/>
    <w:rsid w:val="008E240F"/>
    <w:rsid w:val="008E3822"/>
    <w:rsid w:val="008E43C2"/>
    <w:rsid w:val="008E560B"/>
    <w:rsid w:val="008E579B"/>
    <w:rsid w:val="008E65ED"/>
    <w:rsid w:val="008E66EE"/>
    <w:rsid w:val="008E6AAD"/>
    <w:rsid w:val="008E6BC5"/>
    <w:rsid w:val="008E7607"/>
    <w:rsid w:val="008E76D7"/>
    <w:rsid w:val="008F05C5"/>
    <w:rsid w:val="008F09A9"/>
    <w:rsid w:val="008F2330"/>
    <w:rsid w:val="008F29BD"/>
    <w:rsid w:val="008F34CC"/>
    <w:rsid w:val="008F3D10"/>
    <w:rsid w:val="008F3FE9"/>
    <w:rsid w:val="008F42EC"/>
    <w:rsid w:val="008F4907"/>
    <w:rsid w:val="008F4B3E"/>
    <w:rsid w:val="008F5A6C"/>
    <w:rsid w:val="008F5EAF"/>
    <w:rsid w:val="008F681F"/>
    <w:rsid w:val="008F6B53"/>
    <w:rsid w:val="008F6EB6"/>
    <w:rsid w:val="008F7035"/>
    <w:rsid w:val="008F7357"/>
    <w:rsid w:val="009007E4"/>
    <w:rsid w:val="00900944"/>
    <w:rsid w:val="00901A6D"/>
    <w:rsid w:val="00901F73"/>
    <w:rsid w:val="0090259D"/>
    <w:rsid w:val="009037DE"/>
    <w:rsid w:val="00903E15"/>
    <w:rsid w:val="009054DD"/>
    <w:rsid w:val="009056C4"/>
    <w:rsid w:val="009057E0"/>
    <w:rsid w:val="00905F0E"/>
    <w:rsid w:val="009065E9"/>
    <w:rsid w:val="00907074"/>
    <w:rsid w:val="00907CD8"/>
    <w:rsid w:val="00907EF3"/>
    <w:rsid w:val="0091000E"/>
    <w:rsid w:val="009102EC"/>
    <w:rsid w:val="00910756"/>
    <w:rsid w:val="0091083A"/>
    <w:rsid w:val="00910C6D"/>
    <w:rsid w:val="009123FC"/>
    <w:rsid w:val="00912948"/>
    <w:rsid w:val="00912B42"/>
    <w:rsid w:val="009135A5"/>
    <w:rsid w:val="0091396F"/>
    <w:rsid w:val="0091406C"/>
    <w:rsid w:val="00914352"/>
    <w:rsid w:val="009145C3"/>
    <w:rsid w:val="00914871"/>
    <w:rsid w:val="00914C45"/>
    <w:rsid w:val="00914D3E"/>
    <w:rsid w:val="00914DCB"/>
    <w:rsid w:val="00915FAD"/>
    <w:rsid w:val="00917236"/>
    <w:rsid w:val="0091758A"/>
    <w:rsid w:val="0092068F"/>
    <w:rsid w:val="00921E0A"/>
    <w:rsid w:val="00921EA1"/>
    <w:rsid w:val="00922451"/>
    <w:rsid w:val="00923312"/>
    <w:rsid w:val="0092420D"/>
    <w:rsid w:val="0092433C"/>
    <w:rsid w:val="009245E3"/>
    <w:rsid w:val="009255A2"/>
    <w:rsid w:val="009256DE"/>
    <w:rsid w:val="00926458"/>
    <w:rsid w:val="00926DB0"/>
    <w:rsid w:val="009274D9"/>
    <w:rsid w:val="00927508"/>
    <w:rsid w:val="00927590"/>
    <w:rsid w:val="009278AE"/>
    <w:rsid w:val="00931117"/>
    <w:rsid w:val="00931A57"/>
    <w:rsid w:val="00933684"/>
    <w:rsid w:val="00933C29"/>
    <w:rsid w:val="00934345"/>
    <w:rsid w:val="00934B35"/>
    <w:rsid w:val="00934DD5"/>
    <w:rsid w:val="00935090"/>
    <w:rsid w:val="009354F1"/>
    <w:rsid w:val="00935917"/>
    <w:rsid w:val="0093594B"/>
    <w:rsid w:val="00935B27"/>
    <w:rsid w:val="00936E1E"/>
    <w:rsid w:val="009376FB"/>
    <w:rsid w:val="00940468"/>
    <w:rsid w:val="00940DE7"/>
    <w:rsid w:val="009424D6"/>
    <w:rsid w:val="00944825"/>
    <w:rsid w:val="00945219"/>
    <w:rsid w:val="0094565A"/>
    <w:rsid w:val="00945C3D"/>
    <w:rsid w:val="00945C5C"/>
    <w:rsid w:val="00946C38"/>
    <w:rsid w:val="00946D43"/>
    <w:rsid w:val="009500D7"/>
    <w:rsid w:val="009515A2"/>
    <w:rsid w:val="00952A3A"/>
    <w:rsid w:val="009534E5"/>
    <w:rsid w:val="009538CB"/>
    <w:rsid w:val="00954138"/>
    <w:rsid w:val="00955CC8"/>
    <w:rsid w:val="00955D7F"/>
    <w:rsid w:val="00957D0D"/>
    <w:rsid w:val="00957D6E"/>
    <w:rsid w:val="00960773"/>
    <w:rsid w:val="00960BA8"/>
    <w:rsid w:val="00960EE2"/>
    <w:rsid w:val="0096109D"/>
    <w:rsid w:val="0096168F"/>
    <w:rsid w:val="00961C14"/>
    <w:rsid w:val="0096230E"/>
    <w:rsid w:val="00962352"/>
    <w:rsid w:val="009628E6"/>
    <w:rsid w:val="009630F3"/>
    <w:rsid w:val="00964503"/>
    <w:rsid w:val="0096594C"/>
    <w:rsid w:val="0096619C"/>
    <w:rsid w:val="0096621B"/>
    <w:rsid w:val="0096776E"/>
    <w:rsid w:val="00970F3B"/>
    <w:rsid w:val="009712F1"/>
    <w:rsid w:val="009717C6"/>
    <w:rsid w:val="00973BD7"/>
    <w:rsid w:val="00974B25"/>
    <w:rsid w:val="009756E4"/>
    <w:rsid w:val="00975B45"/>
    <w:rsid w:val="00975D91"/>
    <w:rsid w:val="00976261"/>
    <w:rsid w:val="0097682D"/>
    <w:rsid w:val="0097698F"/>
    <w:rsid w:val="00977242"/>
    <w:rsid w:val="0097772B"/>
    <w:rsid w:val="00977FA2"/>
    <w:rsid w:val="0098118C"/>
    <w:rsid w:val="009814A3"/>
    <w:rsid w:val="00981E53"/>
    <w:rsid w:val="009822BA"/>
    <w:rsid w:val="009823C1"/>
    <w:rsid w:val="00982693"/>
    <w:rsid w:val="0098308F"/>
    <w:rsid w:val="009841AD"/>
    <w:rsid w:val="0098487B"/>
    <w:rsid w:val="00984E3F"/>
    <w:rsid w:val="00985530"/>
    <w:rsid w:val="00985889"/>
    <w:rsid w:val="00985E19"/>
    <w:rsid w:val="00986C4E"/>
    <w:rsid w:val="00987074"/>
    <w:rsid w:val="00987996"/>
    <w:rsid w:val="00987ECA"/>
    <w:rsid w:val="00990215"/>
    <w:rsid w:val="00990FAB"/>
    <w:rsid w:val="009913B1"/>
    <w:rsid w:val="009916E1"/>
    <w:rsid w:val="00991FF7"/>
    <w:rsid w:val="0099231C"/>
    <w:rsid w:val="00993833"/>
    <w:rsid w:val="009946F6"/>
    <w:rsid w:val="009959A1"/>
    <w:rsid w:val="00996363"/>
    <w:rsid w:val="0099719D"/>
    <w:rsid w:val="00997448"/>
    <w:rsid w:val="00997AD3"/>
    <w:rsid w:val="00997BB2"/>
    <w:rsid w:val="009A056B"/>
    <w:rsid w:val="009A09E7"/>
    <w:rsid w:val="009A0AA3"/>
    <w:rsid w:val="009A1B7F"/>
    <w:rsid w:val="009A21C4"/>
    <w:rsid w:val="009A2316"/>
    <w:rsid w:val="009A2C8D"/>
    <w:rsid w:val="009A3D08"/>
    <w:rsid w:val="009A40A9"/>
    <w:rsid w:val="009A4913"/>
    <w:rsid w:val="009A4947"/>
    <w:rsid w:val="009A4FB1"/>
    <w:rsid w:val="009A53E4"/>
    <w:rsid w:val="009A5663"/>
    <w:rsid w:val="009A5A87"/>
    <w:rsid w:val="009A5CFD"/>
    <w:rsid w:val="009A638C"/>
    <w:rsid w:val="009A7BBF"/>
    <w:rsid w:val="009A7E8C"/>
    <w:rsid w:val="009B04CB"/>
    <w:rsid w:val="009B3FE9"/>
    <w:rsid w:val="009B568B"/>
    <w:rsid w:val="009B665C"/>
    <w:rsid w:val="009B6B78"/>
    <w:rsid w:val="009B7687"/>
    <w:rsid w:val="009B7897"/>
    <w:rsid w:val="009C007E"/>
    <w:rsid w:val="009C05E2"/>
    <w:rsid w:val="009C0B5E"/>
    <w:rsid w:val="009C2984"/>
    <w:rsid w:val="009C3767"/>
    <w:rsid w:val="009C4D92"/>
    <w:rsid w:val="009C60F6"/>
    <w:rsid w:val="009C7010"/>
    <w:rsid w:val="009C7D5B"/>
    <w:rsid w:val="009C7FF9"/>
    <w:rsid w:val="009D0362"/>
    <w:rsid w:val="009D14DB"/>
    <w:rsid w:val="009D1D8A"/>
    <w:rsid w:val="009D2BC4"/>
    <w:rsid w:val="009D342B"/>
    <w:rsid w:val="009D3ED3"/>
    <w:rsid w:val="009D4D13"/>
    <w:rsid w:val="009D5D34"/>
    <w:rsid w:val="009D6E0F"/>
    <w:rsid w:val="009D73BB"/>
    <w:rsid w:val="009D792B"/>
    <w:rsid w:val="009E1138"/>
    <w:rsid w:val="009E14F0"/>
    <w:rsid w:val="009E1BE6"/>
    <w:rsid w:val="009E24C4"/>
    <w:rsid w:val="009E344F"/>
    <w:rsid w:val="009E3AFF"/>
    <w:rsid w:val="009E3BE9"/>
    <w:rsid w:val="009E4604"/>
    <w:rsid w:val="009E5374"/>
    <w:rsid w:val="009E561F"/>
    <w:rsid w:val="009E63DC"/>
    <w:rsid w:val="009E72BB"/>
    <w:rsid w:val="009F1219"/>
    <w:rsid w:val="009F1FE2"/>
    <w:rsid w:val="009F3049"/>
    <w:rsid w:val="009F335E"/>
    <w:rsid w:val="009F444D"/>
    <w:rsid w:val="009F49F6"/>
    <w:rsid w:val="009F5691"/>
    <w:rsid w:val="009F5A6B"/>
    <w:rsid w:val="009F5FD6"/>
    <w:rsid w:val="009F6766"/>
    <w:rsid w:val="009F69DE"/>
    <w:rsid w:val="009F6A9C"/>
    <w:rsid w:val="009F797D"/>
    <w:rsid w:val="00A0037F"/>
    <w:rsid w:val="00A0054A"/>
    <w:rsid w:val="00A015FF"/>
    <w:rsid w:val="00A01A00"/>
    <w:rsid w:val="00A021F7"/>
    <w:rsid w:val="00A0281E"/>
    <w:rsid w:val="00A036E8"/>
    <w:rsid w:val="00A03878"/>
    <w:rsid w:val="00A047DE"/>
    <w:rsid w:val="00A0483C"/>
    <w:rsid w:val="00A04E9E"/>
    <w:rsid w:val="00A063CB"/>
    <w:rsid w:val="00A074AE"/>
    <w:rsid w:val="00A0782E"/>
    <w:rsid w:val="00A1115F"/>
    <w:rsid w:val="00A11F66"/>
    <w:rsid w:val="00A12400"/>
    <w:rsid w:val="00A13063"/>
    <w:rsid w:val="00A13158"/>
    <w:rsid w:val="00A1318F"/>
    <w:rsid w:val="00A13488"/>
    <w:rsid w:val="00A14543"/>
    <w:rsid w:val="00A1463D"/>
    <w:rsid w:val="00A14896"/>
    <w:rsid w:val="00A153CE"/>
    <w:rsid w:val="00A15680"/>
    <w:rsid w:val="00A174AC"/>
    <w:rsid w:val="00A17D96"/>
    <w:rsid w:val="00A20474"/>
    <w:rsid w:val="00A22856"/>
    <w:rsid w:val="00A24DFA"/>
    <w:rsid w:val="00A263A3"/>
    <w:rsid w:val="00A26642"/>
    <w:rsid w:val="00A26D4E"/>
    <w:rsid w:val="00A26FE0"/>
    <w:rsid w:val="00A270C7"/>
    <w:rsid w:val="00A279CF"/>
    <w:rsid w:val="00A27A8E"/>
    <w:rsid w:val="00A27F6C"/>
    <w:rsid w:val="00A300EA"/>
    <w:rsid w:val="00A3134D"/>
    <w:rsid w:val="00A31413"/>
    <w:rsid w:val="00A3318B"/>
    <w:rsid w:val="00A3326E"/>
    <w:rsid w:val="00A34306"/>
    <w:rsid w:val="00A3518C"/>
    <w:rsid w:val="00A352F2"/>
    <w:rsid w:val="00A35B89"/>
    <w:rsid w:val="00A35E09"/>
    <w:rsid w:val="00A36469"/>
    <w:rsid w:val="00A3746B"/>
    <w:rsid w:val="00A37778"/>
    <w:rsid w:val="00A37975"/>
    <w:rsid w:val="00A41668"/>
    <w:rsid w:val="00A416C9"/>
    <w:rsid w:val="00A436EB"/>
    <w:rsid w:val="00A4503E"/>
    <w:rsid w:val="00A46268"/>
    <w:rsid w:val="00A4686C"/>
    <w:rsid w:val="00A46A1D"/>
    <w:rsid w:val="00A471B5"/>
    <w:rsid w:val="00A517B4"/>
    <w:rsid w:val="00A51894"/>
    <w:rsid w:val="00A52408"/>
    <w:rsid w:val="00A52B83"/>
    <w:rsid w:val="00A53262"/>
    <w:rsid w:val="00A53C72"/>
    <w:rsid w:val="00A53CCC"/>
    <w:rsid w:val="00A564A1"/>
    <w:rsid w:val="00A56579"/>
    <w:rsid w:val="00A56AC6"/>
    <w:rsid w:val="00A60022"/>
    <w:rsid w:val="00A61041"/>
    <w:rsid w:val="00A6156F"/>
    <w:rsid w:val="00A620E3"/>
    <w:rsid w:val="00A64732"/>
    <w:rsid w:val="00A64D40"/>
    <w:rsid w:val="00A65ACC"/>
    <w:rsid w:val="00A66A55"/>
    <w:rsid w:val="00A66BC3"/>
    <w:rsid w:val="00A6721A"/>
    <w:rsid w:val="00A6758E"/>
    <w:rsid w:val="00A67A93"/>
    <w:rsid w:val="00A67DB8"/>
    <w:rsid w:val="00A70CC5"/>
    <w:rsid w:val="00A71381"/>
    <w:rsid w:val="00A71BA9"/>
    <w:rsid w:val="00A7258D"/>
    <w:rsid w:val="00A73855"/>
    <w:rsid w:val="00A739ED"/>
    <w:rsid w:val="00A73C18"/>
    <w:rsid w:val="00A73FD6"/>
    <w:rsid w:val="00A741FA"/>
    <w:rsid w:val="00A7711B"/>
    <w:rsid w:val="00A77750"/>
    <w:rsid w:val="00A77B36"/>
    <w:rsid w:val="00A8060D"/>
    <w:rsid w:val="00A815EF"/>
    <w:rsid w:val="00A82308"/>
    <w:rsid w:val="00A824F3"/>
    <w:rsid w:val="00A82CC9"/>
    <w:rsid w:val="00A830AF"/>
    <w:rsid w:val="00A84CC6"/>
    <w:rsid w:val="00A84EE8"/>
    <w:rsid w:val="00A85003"/>
    <w:rsid w:val="00A85558"/>
    <w:rsid w:val="00A85CF7"/>
    <w:rsid w:val="00A85F91"/>
    <w:rsid w:val="00A85FC7"/>
    <w:rsid w:val="00A8634C"/>
    <w:rsid w:val="00A8638A"/>
    <w:rsid w:val="00A86527"/>
    <w:rsid w:val="00A87101"/>
    <w:rsid w:val="00A905F2"/>
    <w:rsid w:val="00A917C6"/>
    <w:rsid w:val="00A918AC"/>
    <w:rsid w:val="00A918DD"/>
    <w:rsid w:val="00A91E9E"/>
    <w:rsid w:val="00A9200C"/>
    <w:rsid w:val="00A92F38"/>
    <w:rsid w:val="00A936E4"/>
    <w:rsid w:val="00A93F0E"/>
    <w:rsid w:val="00A949CD"/>
    <w:rsid w:val="00A94DF2"/>
    <w:rsid w:val="00A95D8A"/>
    <w:rsid w:val="00A963F5"/>
    <w:rsid w:val="00A96854"/>
    <w:rsid w:val="00A96A36"/>
    <w:rsid w:val="00A97118"/>
    <w:rsid w:val="00AA076E"/>
    <w:rsid w:val="00AA0BC0"/>
    <w:rsid w:val="00AA162F"/>
    <w:rsid w:val="00AA175E"/>
    <w:rsid w:val="00AA2057"/>
    <w:rsid w:val="00AA2B5D"/>
    <w:rsid w:val="00AA331A"/>
    <w:rsid w:val="00AA34C7"/>
    <w:rsid w:val="00AA3D41"/>
    <w:rsid w:val="00AA3F42"/>
    <w:rsid w:val="00AA4025"/>
    <w:rsid w:val="00AA4CF8"/>
    <w:rsid w:val="00AA4EE0"/>
    <w:rsid w:val="00AA6A17"/>
    <w:rsid w:val="00AA7DF0"/>
    <w:rsid w:val="00AB107F"/>
    <w:rsid w:val="00AB161C"/>
    <w:rsid w:val="00AB1A93"/>
    <w:rsid w:val="00AB1E0A"/>
    <w:rsid w:val="00AB2799"/>
    <w:rsid w:val="00AB4125"/>
    <w:rsid w:val="00AB452D"/>
    <w:rsid w:val="00AB4565"/>
    <w:rsid w:val="00AB4B94"/>
    <w:rsid w:val="00AB4D54"/>
    <w:rsid w:val="00AB52FD"/>
    <w:rsid w:val="00AB5ECE"/>
    <w:rsid w:val="00AB7875"/>
    <w:rsid w:val="00AC0503"/>
    <w:rsid w:val="00AC08A5"/>
    <w:rsid w:val="00AC161D"/>
    <w:rsid w:val="00AC165B"/>
    <w:rsid w:val="00AC16EB"/>
    <w:rsid w:val="00AC2129"/>
    <w:rsid w:val="00AC33EF"/>
    <w:rsid w:val="00AC39D7"/>
    <w:rsid w:val="00AC4115"/>
    <w:rsid w:val="00AC4540"/>
    <w:rsid w:val="00AC45FC"/>
    <w:rsid w:val="00AC47EF"/>
    <w:rsid w:val="00AC5016"/>
    <w:rsid w:val="00AC59D1"/>
    <w:rsid w:val="00AC611E"/>
    <w:rsid w:val="00AC7079"/>
    <w:rsid w:val="00AC77C2"/>
    <w:rsid w:val="00AC7D42"/>
    <w:rsid w:val="00AD00FF"/>
    <w:rsid w:val="00AD03DC"/>
    <w:rsid w:val="00AD0BC9"/>
    <w:rsid w:val="00AD0EAE"/>
    <w:rsid w:val="00AD11BD"/>
    <w:rsid w:val="00AD12ED"/>
    <w:rsid w:val="00AD3C6B"/>
    <w:rsid w:val="00AD6B29"/>
    <w:rsid w:val="00AD6C35"/>
    <w:rsid w:val="00AD78E1"/>
    <w:rsid w:val="00AD7B29"/>
    <w:rsid w:val="00AE0169"/>
    <w:rsid w:val="00AE0238"/>
    <w:rsid w:val="00AE09A9"/>
    <w:rsid w:val="00AE0DD2"/>
    <w:rsid w:val="00AE38E9"/>
    <w:rsid w:val="00AE3C7D"/>
    <w:rsid w:val="00AE45BC"/>
    <w:rsid w:val="00AE48F8"/>
    <w:rsid w:val="00AE4B7F"/>
    <w:rsid w:val="00AE636D"/>
    <w:rsid w:val="00AE6A5C"/>
    <w:rsid w:val="00AE7AF7"/>
    <w:rsid w:val="00AE7DFE"/>
    <w:rsid w:val="00AF02B5"/>
    <w:rsid w:val="00AF0F1A"/>
    <w:rsid w:val="00AF1568"/>
    <w:rsid w:val="00AF1C8E"/>
    <w:rsid w:val="00AF2542"/>
    <w:rsid w:val="00AF381A"/>
    <w:rsid w:val="00AF3850"/>
    <w:rsid w:val="00AF43DA"/>
    <w:rsid w:val="00AF458A"/>
    <w:rsid w:val="00AF45B6"/>
    <w:rsid w:val="00AF5143"/>
    <w:rsid w:val="00AF545D"/>
    <w:rsid w:val="00AF5859"/>
    <w:rsid w:val="00AF590D"/>
    <w:rsid w:val="00AF73C4"/>
    <w:rsid w:val="00B00CB8"/>
    <w:rsid w:val="00B00D35"/>
    <w:rsid w:val="00B00FE8"/>
    <w:rsid w:val="00B018FF"/>
    <w:rsid w:val="00B01AAB"/>
    <w:rsid w:val="00B035C2"/>
    <w:rsid w:val="00B0396D"/>
    <w:rsid w:val="00B04363"/>
    <w:rsid w:val="00B046D0"/>
    <w:rsid w:val="00B04B1E"/>
    <w:rsid w:val="00B0528F"/>
    <w:rsid w:val="00B06657"/>
    <w:rsid w:val="00B06AFA"/>
    <w:rsid w:val="00B1105E"/>
    <w:rsid w:val="00B11DCF"/>
    <w:rsid w:val="00B12CDC"/>
    <w:rsid w:val="00B13079"/>
    <w:rsid w:val="00B13E93"/>
    <w:rsid w:val="00B14068"/>
    <w:rsid w:val="00B14284"/>
    <w:rsid w:val="00B147C3"/>
    <w:rsid w:val="00B1583E"/>
    <w:rsid w:val="00B15B33"/>
    <w:rsid w:val="00B16B9A"/>
    <w:rsid w:val="00B20093"/>
    <w:rsid w:val="00B202FF"/>
    <w:rsid w:val="00B20838"/>
    <w:rsid w:val="00B221A3"/>
    <w:rsid w:val="00B23172"/>
    <w:rsid w:val="00B23AAA"/>
    <w:rsid w:val="00B243AB"/>
    <w:rsid w:val="00B248DF"/>
    <w:rsid w:val="00B25172"/>
    <w:rsid w:val="00B25528"/>
    <w:rsid w:val="00B257BB"/>
    <w:rsid w:val="00B25ABB"/>
    <w:rsid w:val="00B2687A"/>
    <w:rsid w:val="00B30121"/>
    <w:rsid w:val="00B316BA"/>
    <w:rsid w:val="00B3200A"/>
    <w:rsid w:val="00B32A5C"/>
    <w:rsid w:val="00B332DA"/>
    <w:rsid w:val="00B33D0C"/>
    <w:rsid w:val="00B34FEE"/>
    <w:rsid w:val="00B359FD"/>
    <w:rsid w:val="00B36208"/>
    <w:rsid w:val="00B368BE"/>
    <w:rsid w:val="00B36B99"/>
    <w:rsid w:val="00B36CB1"/>
    <w:rsid w:val="00B37730"/>
    <w:rsid w:val="00B377C2"/>
    <w:rsid w:val="00B41198"/>
    <w:rsid w:val="00B413E5"/>
    <w:rsid w:val="00B41928"/>
    <w:rsid w:val="00B4246A"/>
    <w:rsid w:val="00B42C95"/>
    <w:rsid w:val="00B439E7"/>
    <w:rsid w:val="00B45117"/>
    <w:rsid w:val="00B4594D"/>
    <w:rsid w:val="00B45989"/>
    <w:rsid w:val="00B45CB0"/>
    <w:rsid w:val="00B47652"/>
    <w:rsid w:val="00B47BB1"/>
    <w:rsid w:val="00B5086F"/>
    <w:rsid w:val="00B5150F"/>
    <w:rsid w:val="00B528C8"/>
    <w:rsid w:val="00B52A7C"/>
    <w:rsid w:val="00B52E07"/>
    <w:rsid w:val="00B52E8D"/>
    <w:rsid w:val="00B53197"/>
    <w:rsid w:val="00B53A49"/>
    <w:rsid w:val="00B547CA"/>
    <w:rsid w:val="00B551B8"/>
    <w:rsid w:val="00B55485"/>
    <w:rsid w:val="00B5611B"/>
    <w:rsid w:val="00B56947"/>
    <w:rsid w:val="00B56C52"/>
    <w:rsid w:val="00B56D06"/>
    <w:rsid w:val="00B57CAD"/>
    <w:rsid w:val="00B601FE"/>
    <w:rsid w:val="00B60C7F"/>
    <w:rsid w:val="00B6108C"/>
    <w:rsid w:val="00B612B7"/>
    <w:rsid w:val="00B61826"/>
    <w:rsid w:val="00B61F09"/>
    <w:rsid w:val="00B6267B"/>
    <w:rsid w:val="00B62847"/>
    <w:rsid w:val="00B63465"/>
    <w:rsid w:val="00B63624"/>
    <w:rsid w:val="00B63688"/>
    <w:rsid w:val="00B63B75"/>
    <w:rsid w:val="00B64186"/>
    <w:rsid w:val="00B64997"/>
    <w:rsid w:val="00B6561F"/>
    <w:rsid w:val="00B67FAE"/>
    <w:rsid w:val="00B70625"/>
    <w:rsid w:val="00B70B41"/>
    <w:rsid w:val="00B70D5F"/>
    <w:rsid w:val="00B7164D"/>
    <w:rsid w:val="00B72D95"/>
    <w:rsid w:val="00B7329D"/>
    <w:rsid w:val="00B73358"/>
    <w:rsid w:val="00B737EF"/>
    <w:rsid w:val="00B75116"/>
    <w:rsid w:val="00B7587F"/>
    <w:rsid w:val="00B765CB"/>
    <w:rsid w:val="00B76E8F"/>
    <w:rsid w:val="00B778B2"/>
    <w:rsid w:val="00B77B71"/>
    <w:rsid w:val="00B8490B"/>
    <w:rsid w:val="00B85449"/>
    <w:rsid w:val="00B8568E"/>
    <w:rsid w:val="00B8589C"/>
    <w:rsid w:val="00B85C34"/>
    <w:rsid w:val="00B85E99"/>
    <w:rsid w:val="00B8614D"/>
    <w:rsid w:val="00B862CF"/>
    <w:rsid w:val="00B87709"/>
    <w:rsid w:val="00B903DE"/>
    <w:rsid w:val="00B905FD"/>
    <w:rsid w:val="00B91676"/>
    <w:rsid w:val="00B916D3"/>
    <w:rsid w:val="00B927AA"/>
    <w:rsid w:val="00B92847"/>
    <w:rsid w:val="00B9293F"/>
    <w:rsid w:val="00B92D6E"/>
    <w:rsid w:val="00B94862"/>
    <w:rsid w:val="00B94E93"/>
    <w:rsid w:val="00B95159"/>
    <w:rsid w:val="00B9538C"/>
    <w:rsid w:val="00B953CB"/>
    <w:rsid w:val="00B956FA"/>
    <w:rsid w:val="00B95EB1"/>
    <w:rsid w:val="00B96163"/>
    <w:rsid w:val="00B96BCC"/>
    <w:rsid w:val="00B972F8"/>
    <w:rsid w:val="00B97873"/>
    <w:rsid w:val="00B97A11"/>
    <w:rsid w:val="00B97B2F"/>
    <w:rsid w:val="00BA0192"/>
    <w:rsid w:val="00BA08B4"/>
    <w:rsid w:val="00BA164B"/>
    <w:rsid w:val="00BA2603"/>
    <w:rsid w:val="00BA2D6D"/>
    <w:rsid w:val="00BA2F59"/>
    <w:rsid w:val="00BA3D19"/>
    <w:rsid w:val="00BA4E6D"/>
    <w:rsid w:val="00BA622E"/>
    <w:rsid w:val="00BA672D"/>
    <w:rsid w:val="00BA67B8"/>
    <w:rsid w:val="00BA6A54"/>
    <w:rsid w:val="00BA6C2C"/>
    <w:rsid w:val="00BA724C"/>
    <w:rsid w:val="00BA74C7"/>
    <w:rsid w:val="00BA76F4"/>
    <w:rsid w:val="00BA7D17"/>
    <w:rsid w:val="00BB00BF"/>
    <w:rsid w:val="00BB0377"/>
    <w:rsid w:val="00BB0B53"/>
    <w:rsid w:val="00BB12BA"/>
    <w:rsid w:val="00BB1399"/>
    <w:rsid w:val="00BB2D1A"/>
    <w:rsid w:val="00BB3094"/>
    <w:rsid w:val="00BB3AB6"/>
    <w:rsid w:val="00BB408B"/>
    <w:rsid w:val="00BB4D76"/>
    <w:rsid w:val="00BB510D"/>
    <w:rsid w:val="00BB61C0"/>
    <w:rsid w:val="00BB6F88"/>
    <w:rsid w:val="00BB7218"/>
    <w:rsid w:val="00BB7C92"/>
    <w:rsid w:val="00BC0024"/>
    <w:rsid w:val="00BC00C2"/>
    <w:rsid w:val="00BC0397"/>
    <w:rsid w:val="00BC0524"/>
    <w:rsid w:val="00BC0726"/>
    <w:rsid w:val="00BC0755"/>
    <w:rsid w:val="00BC0C64"/>
    <w:rsid w:val="00BC0E0C"/>
    <w:rsid w:val="00BC1806"/>
    <w:rsid w:val="00BC28D4"/>
    <w:rsid w:val="00BC2AAD"/>
    <w:rsid w:val="00BC2B80"/>
    <w:rsid w:val="00BC2F03"/>
    <w:rsid w:val="00BC43BC"/>
    <w:rsid w:val="00BC4990"/>
    <w:rsid w:val="00BC59D6"/>
    <w:rsid w:val="00BC610E"/>
    <w:rsid w:val="00BC622D"/>
    <w:rsid w:val="00BC626B"/>
    <w:rsid w:val="00BC6B15"/>
    <w:rsid w:val="00BC6D39"/>
    <w:rsid w:val="00BD132E"/>
    <w:rsid w:val="00BD23B6"/>
    <w:rsid w:val="00BD33F6"/>
    <w:rsid w:val="00BD44B9"/>
    <w:rsid w:val="00BD5A21"/>
    <w:rsid w:val="00BD6608"/>
    <w:rsid w:val="00BD6985"/>
    <w:rsid w:val="00BE0353"/>
    <w:rsid w:val="00BE09A9"/>
    <w:rsid w:val="00BE0F11"/>
    <w:rsid w:val="00BE12B7"/>
    <w:rsid w:val="00BE1464"/>
    <w:rsid w:val="00BE2299"/>
    <w:rsid w:val="00BE2D69"/>
    <w:rsid w:val="00BE2FDA"/>
    <w:rsid w:val="00BE4101"/>
    <w:rsid w:val="00BE4393"/>
    <w:rsid w:val="00BE4647"/>
    <w:rsid w:val="00BE54F2"/>
    <w:rsid w:val="00BE5BB2"/>
    <w:rsid w:val="00BE65C5"/>
    <w:rsid w:val="00BE7E5E"/>
    <w:rsid w:val="00BF072C"/>
    <w:rsid w:val="00BF07DA"/>
    <w:rsid w:val="00BF081E"/>
    <w:rsid w:val="00BF08F3"/>
    <w:rsid w:val="00BF30F4"/>
    <w:rsid w:val="00BF379F"/>
    <w:rsid w:val="00BF48E5"/>
    <w:rsid w:val="00BF4B56"/>
    <w:rsid w:val="00BF4E3E"/>
    <w:rsid w:val="00BF57F0"/>
    <w:rsid w:val="00BF60DA"/>
    <w:rsid w:val="00BF6829"/>
    <w:rsid w:val="00BF697D"/>
    <w:rsid w:val="00BF7102"/>
    <w:rsid w:val="00C00085"/>
    <w:rsid w:val="00C00D92"/>
    <w:rsid w:val="00C01573"/>
    <w:rsid w:val="00C015AD"/>
    <w:rsid w:val="00C01D2B"/>
    <w:rsid w:val="00C01F74"/>
    <w:rsid w:val="00C0347A"/>
    <w:rsid w:val="00C0372A"/>
    <w:rsid w:val="00C03CF6"/>
    <w:rsid w:val="00C04A18"/>
    <w:rsid w:val="00C04DAC"/>
    <w:rsid w:val="00C060D8"/>
    <w:rsid w:val="00C06348"/>
    <w:rsid w:val="00C06964"/>
    <w:rsid w:val="00C06BCC"/>
    <w:rsid w:val="00C06E38"/>
    <w:rsid w:val="00C06FC0"/>
    <w:rsid w:val="00C07E75"/>
    <w:rsid w:val="00C10BED"/>
    <w:rsid w:val="00C10D33"/>
    <w:rsid w:val="00C10E73"/>
    <w:rsid w:val="00C1160B"/>
    <w:rsid w:val="00C12261"/>
    <w:rsid w:val="00C12CBB"/>
    <w:rsid w:val="00C12F33"/>
    <w:rsid w:val="00C131B7"/>
    <w:rsid w:val="00C142C5"/>
    <w:rsid w:val="00C15961"/>
    <w:rsid w:val="00C15B66"/>
    <w:rsid w:val="00C160DE"/>
    <w:rsid w:val="00C162D7"/>
    <w:rsid w:val="00C162EC"/>
    <w:rsid w:val="00C16534"/>
    <w:rsid w:val="00C16631"/>
    <w:rsid w:val="00C168C5"/>
    <w:rsid w:val="00C16EB0"/>
    <w:rsid w:val="00C203BC"/>
    <w:rsid w:val="00C20AC8"/>
    <w:rsid w:val="00C2164D"/>
    <w:rsid w:val="00C228B5"/>
    <w:rsid w:val="00C24683"/>
    <w:rsid w:val="00C256EA"/>
    <w:rsid w:val="00C25BBB"/>
    <w:rsid w:val="00C27083"/>
    <w:rsid w:val="00C274BE"/>
    <w:rsid w:val="00C278C2"/>
    <w:rsid w:val="00C27B2F"/>
    <w:rsid w:val="00C27E9D"/>
    <w:rsid w:val="00C31A9F"/>
    <w:rsid w:val="00C31F45"/>
    <w:rsid w:val="00C32455"/>
    <w:rsid w:val="00C3282B"/>
    <w:rsid w:val="00C32A44"/>
    <w:rsid w:val="00C33A57"/>
    <w:rsid w:val="00C343EC"/>
    <w:rsid w:val="00C350DF"/>
    <w:rsid w:val="00C352C6"/>
    <w:rsid w:val="00C35480"/>
    <w:rsid w:val="00C369E9"/>
    <w:rsid w:val="00C36A14"/>
    <w:rsid w:val="00C37CF2"/>
    <w:rsid w:val="00C37E6F"/>
    <w:rsid w:val="00C4062D"/>
    <w:rsid w:val="00C40D8A"/>
    <w:rsid w:val="00C42CEF"/>
    <w:rsid w:val="00C43532"/>
    <w:rsid w:val="00C43CF8"/>
    <w:rsid w:val="00C43FA3"/>
    <w:rsid w:val="00C442B5"/>
    <w:rsid w:val="00C4480A"/>
    <w:rsid w:val="00C44949"/>
    <w:rsid w:val="00C44965"/>
    <w:rsid w:val="00C45A15"/>
    <w:rsid w:val="00C45CD1"/>
    <w:rsid w:val="00C45E0F"/>
    <w:rsid w:val="00C46B20"/>
    <w:rsid w:val="00C479E9"/>
    <w:rsid w:val="00C50CB1"/>
    <w:rsid w:val="00C50E60"/>
    <w:rsid w:val="00C5162B"/>
    <w:rsid w:val="00C51A89"/>
    <w:rsid w:val="00C51DB4"/>
    <w:rsid w:val="00C520F4"/>
    <w:rsid w:val="00C52DFC"/>
    <w:rsid w:val="00C55189"/>
    <w:rsid w:val="00C56381"/>
    <w:rsid w:val="00C566FB"/>
    <w:rsid w:val="00C60DC9"/>
    <w:rsid w:val="00C61226"/>
    <w:rsid w:val="00C61428"/>
    <w:rsid w:val="00C61C1E"/>
    <w:rsid w:val="00C6256F"/>
    <w:rsid w:val="00C6322C"/>
    <w:rsid w:val="00C632D0"/>
    <w:rsid w:val="00C638BE"/>
    <w:rsid w:val="00C63C2F"/>
    <w:rsid w:val="00C647F8"/>
    <w:rsid w:val="00C65A92"/>
    <w:rsid w:val="00C65DC1"/>
    <w:rsid w:val="00C66483"/>
    <w:rsid w:val="00C67A0E"/>
    <w:rsid w:val="00C70042"/>
    <w:rsid w:val="00C70AA1"/>
    <w:rsid w:val="00C7151B"/>
    <w:rsid w:val="00C71EEE"/>
    <w:rsid w:val="00C7265C"/>
    <w:rsid w:val="00C72937"/>
    <w:rsid w:val="00C73966"/>
    <w:rsid w:val="00C746CC"/>
    <w:rsid w:val="00C74863"/>
    <w:rsid w:val="00C74DE3"/>
    <w:rsid w:val="00C74F83"/>
    <w:rsid w:val="00C750F6"/>
    <w:rsid w:val="00C75CFE"/>
    <w:rsid w:val="00C7631B"/>
    <w:rsid w:val="00C7643F"/>
    <w:rsid w:val="00C76A10"/>
    <w:rsid w:val="00C777A1"/>
    <w:rsid w:val="00C778DB"/>
    <w:rsid w:val="00C814AB"/>
    <w:rsid w:val="00C81FFD"/>
    <w:rsid w:val="00C833B0"/>
    <w:rsid w:val="00C83772"/>
    <w:rsid w:val="00C855B7"/>
    <w:rsid w:val="00C86905"/>
    <w:rsid w:val="00C8703D"/>
    <w:rsid w:val="00C87075"/>
    <w:rsid w:val="00C87F82"/>
    <w:rsid w:val="00C903FA"/>
    <w:rsid w:val="00C9129B"/>
    <w:rsid w:val="00C92355"/>
    <w:rsid w:val="00C9293D"/>
    <w:rsid w:val="00C9354B"/>
    <w:rsid w:val="00C93BA7"/>
    <w:rsid w:val="00C9416C"/>
    <w:rsid w:val="00C959F7"/>
    <w:rsid w:val="00C95A67"/>
    <w:rsid w:val="00C963A8"/>
    <w:rsid w:val="00C96F14"/>
    <w:rsid w:val="00C96FE0"/>
    <w:rsid w:val="00C97535"/>
    <w:rsid w:val="00C977DF"/>
    <w:rsid w:val="00CA11A6"/>
    <w:rsid w:val="00CA16D5"/>
    <w:rsid w:val="00CA1992"/>
    <w:rsid w:val="00CA2F8D"/>
    <w:rsid w:val="00CA3032"/>
    <w:rsid w:val="00CA34C8"/>
    <w:rsid w:val="00CA4168"/>
    <w:rsid w:val="00CA452A"/>
    <w:rsid w:val="00CA4EF9"/>
    <w:rsid w:val="00CA57B3"/>
    <w:rsid w:val="00CA734D"/>
    <w:rsid w:val="00CA74C8"/>
    <w:rsid w:val="00CA7A8E"/>
    <w:rsid w:val="00CB0410"/>
    <w:rsid w:val="00CB0608"/>
    <w:rsid w:val="00CB093C"/>
    <w:rsid w:val="00CB0ABE"/>
    <w:rsid w:val="00CB0E06"/>
    <w:rsid w:val="00CB1DE7"/>
    <w:rsid w:val="00CB2CBC"/>
    <w:rsid w:val="00CB3BD8"/>
    <w:rsid w:val="00CB3D17"/>
    <w:rsid w:val="00CB3DA2"/>
    <w:rsid w:val="00CB53C1"/>
    <w:rsid w:val="00CB58B4"/>
    <w:rsid w:val="00CB5C7A"/>
    <w:rsid w:val="00CB746A"/>
    <w:rsid w:val="00CB7991"/>
    <w:rsid w:val="00CB7D33"/>
    <w:rsid w:val="00CC0C2B"/>
    <w:rsid w:val="00CC1628"/>
    <w:rsid w:val="00CC182E"/>
    <w:rsid w:val="00CC2083"/>
    <w:rsid w:val="00CC3529"/>
    <w:rsid w:val="00CC37B7"/>
    <w:rsid w:val="00CC39F8"/>
    <w:rsid w:val="00CC3C0B"/>
    <w:rsid w:val="00CC4027"/>
    <w:rsid w:val="00CC467D"/>
    <w:rsid w:val="00CC5664"/>
    <w:rsid w:val="00CC68B1"/>
    <w:rsid w:val="00CC6F2C"/>
    <w:rsid w:val="00CC6F63"/>
    <w:rsid w:val="00CD0236"/>
    <w:rsid w:val="00CD0B89"/>
    <w:rsid w:val="00CD0BB9"/>
    <w:rsid w:val="00CD1930"/>
    <w:rsid w:val="00CD1B53"/>
    <w:rsid w:val="00CD238E"/>
    <w:rsid w:val="00CD2790"/>
    <w:rsid w:val="00CD27C9"/>
    <w:rsid w:val="00CD2FF0"/>
    <w:rsid w:val="00CD333D"/>
    <w:rsid w:val="00CD338C"/>
    <w:rsid w:val="00CD3F75"/>
    <w:rsid w:val="00CD73FA"/>
    <w:rsid w:val="00CD764D"/>
    <w:rsid w:val="00CD7C39"/>
    <w:rsid w:val="00CD7FF5"/>
    <w:rsid w:val="00CE02C0"/>
    <w:rsid w:val="00CE046E"/>
    <w:rsid w:val="00CE09D9"/>
    <w:rsid w:val="00CE0A82"/>
    <w:rsid w:val="00CE0F51"/>
    <w:rsid w:val="00CE2E5A"/>
    <w:rsid w:val="00CE2FA1"/>
    <w:rsid w:val="00CE3734"/>
    <w:rsid w:val="00CE39AB"/>
    <w:rsid w:val="00CE3A78"/>
    <w:rsid w:val="00CE48C2"/>
    <w:rsid w:val="00CE618D"/>
    <w:rsid w:val="00CE6E26"/>
    <w:rsid w:val="00CE7C4D"/>
    <w:rsid w:val="00CE7CCC"/>
    <w:rsid w:val="00CF0342"/>
    <w:rsid w:val="00CF088B"/>
    <w:rsid w:val="00CF1F88"/>
    <w:rsid w:val="00CF215E"/>
    <w:rsid w:val="00CF23F7"/>
    <w:rsid w:val="00CF266A"/>
    <w:rsid w:val="00CF304D"/>
    <w:rsid w:val="00CF35D2"/>
    <w:rsid w:val="00CF454C"/>
    <w:rsid w:val="00CF4889"/>
    <w:rsid w:val="00CF4EEB"/>
    <w:rsid w:val="00CF5ACC"/>
    <w:rsid w:val="00CF68B9"/>
    <w:rsid w:val="00CF6B4D"/>
    <w:rsid w:val="00D00CF7"/>
    <w:rsid w:val="00D00D98"/>
    <w:rsid w:val="00D00E48"/>
    <w:rsid w:val="00D01457"/>
    <w:rsid w:val="00D02D0F"/>
    <w:rsid w:val="00D03625"/>
    <w:rsid w:val="00D03E6E"/>
    <w:rsid w:val="00D05125"/>
    <w:rsid w:val="00D05323"/>
    <w:rsid w:val="00D05AAF"/>
    <w:rsid w:val="00D069CC"/>
    <w:rsid w:val="00D075E6"/>
    <w:rsid w:val="00D07A18"/>
    <w:rsid w:val="00D10C13"/>
    <w:rsid w:val="00D10E34"/>
    <w:rsid w:val="00D10EEA"/>
    <w:rsid w:val="00D1161C"/>
    <w:rsid w:val="00D118F2"/>
    <w:rsid w:val="00D12186"/>
    <w:rsid w:val="00D12502"/>
    <w:rsid w:val="00D12CEF"/>
    <w:rsid w:val="00D136E7"/>
    <w:rsid w:val="00D137A7"/>
    <w:rsid w:val="00D14B05"/>
    <w:rsid w:val="00D14E3D"/>
    <w:rsid w:val="00D15E47"/>
    <w:rsid w:val="00D16138"/>
    <w:rsid w:val="00D162E0"/>
    <w:rsid w:val="00D16A9F"/>
    <w:rsid w:val="00D16B1D"/>
    <w:rsid w:val="00D16B2F"/>
    <w:rsid w:val="00D16EA3"/>
    <w:rsid w:val="00D16FF2"/>
    <w:rsid w:val="00D1778F"/>
    <w:rsid w:val="00D200A9"/>
    <w:rsid w:val="00D20708"/>
    <w:rsid w:val="00D20ECB"/>
    <w:rsid w:val="00D216EC"/>
    <w:rsid w:val="00D22942"/>
    <w:rsid w:val="00D22C02"/>
    <w:rsid w:val="00D22E0C"/>
    <w:rsid w:val="00D2379E"/>
    <w:rsid w:val="00D23B0D"/>
    <w:rsid w:val="00D23E3C"/>
    <w:rsid w:val="00D240D8"/>
    <w:rsid w:val="00D24344"/>
    <w:rsid w:val="00D24E06"/>
    <w:rsid w:val="00D250DF"/>
    <w:rsid w:val="00D2522E"/>
    <w:rsid w:val="00D25DB4"/>
    <w:rsid w:val="00D260DB"/>
    <w:rsid w:val="00D2653A"/>
    <w:rsid w:val="00D26701"/>
    <w:rsid w:val="00D26CCB"/>
    <w:rsid w:val="00D275ED"/>
    <w:rsid w:val="00D27A18"/>
    <w:rsid w:val="00D27F82"/>
    <w:rsid w:val="00D3006C"/>
    <w:rsid w:val="00D300FE"/>
    <w:rsid w:val="00D3056D"/>
    <w:rsid w:val="00D305B5"/>
    <w:rsid w:val="00D3070C"/>
    <w:rsid w:val="00D31051"/>
    <w:rsid w:val="00D3154E"/>
    <w:rsid w:val="00D32467"/>
    <w:rsid w:val="00D335C5"/>
    <w:rsid w:val="00D33EEE"/>
    <w:rsid w:val="00D34172"/>
    <w:rsid w:val="00D35472"/>
    <w:rsid w:val="00D35BFA"/>
    <w:rsid w:val="00D3642B"/>
    <w:rsid w:val="00D36636"/>
    <w:rsid w:val="00D40BD1"/>
    <w:rsid w:val="00D40FD8"/>
    <w:rsid w:val="00D41297"/>
    <w:rsid w:val="00D41469"/>
    <w:rsid w:val="00D4268F"/>
    <w:rsid w:val="00D42AE2"/>
    <w:rsid w:val="00D42E88"/>
    <w:rsid w:val="00D43533"/>
    <w:rsid w:val="00D43C44"/>
    <w:rsid w:val="00D440F2"/>
    <w:rsid w:val="00D453A0"/>
    <w:rsid w:val="00D46AC6"/>
    <w:rsid w:val="00D476AF"/>
    <w:rsid w:val="00D479BC"/>
    <w:rsid w:val="00D50000"/>
    <w:rsid w:val="00D50B89"/>
    <w:rsid w:val="00D50DBF"/>
    <w:rsid w:val="00D51024"/>
    <w:rsid w:val="00D51621"/>
    <w:rsid w:val="00D51DFB"/>
    <w:rsid w:val="00D527D5"/>
    <w:rsid w:val="00D529A8"/>
    <w:rsid w:val="00D52BC9"/>
    <w:rsid w:val="00D54B06"/>
    <w:rsid w:val="00D54EC8"/>
    <w:rsid w:val="00D5504C"/>
    <w:rsid w:val="00D556A3"/>
    <w:rsid w:val="00D558A9"/>
    <w:rsid w:val="00D56B19"/>
    <w:rsid w:val="00D56BDB"/>
    <w:rsid w:val="00D56E14"/>
    <w:rsid w:val="00D57034"/>
    <w:rsid w:val="00D60C6C"/>
    <w:rsid w:val="00D61419"/>
    <w:rsid w:val="00D61839"/>
    <w:rsid w:val="00D636D9"/>
    <w:rsid w:val="00D644A6"/>
    <w:rsid w:val="00D647F9"/>
    <w:rsid w:val="00D64AAA"/>
    <w:rsid w:val="00D701AD"/>
    <w:rsid w:val="00D713CE"/>
    <w:rsid w:val="00D728F1"/>
    <w:rsid w:val="00D72925"/>
    <w:rsid w:val="00D72ECC"/>
    <w:rsid w:val="00D73D96"/>
    <w:rsid w:val="00D740C7"/>
    <w:rsid w:val="00D7436E"/>
    <w:rsid w:val="00D755AE"/>
    <w:rsid w:val="00D77351"/>
    <w:rsid w:val="00D77D10"/>
    <w:rsid w:val="00D80284"/>
    <w:rsid w:val="00D8070A"/>
    <w:rsid w:val="00D80853"/>
    <w:rsid w:val="00D81597"/>
    <w:rsid w:val="00D82480"/>
    <w:rsid w:val="00D83353"/>
    <w:rsid w:val="00D835E7"/>
    <w:rsid w:val="00D8391B"/>
    <w:rsid w:val="00D84E7C"/>
    <w:rsid w:val="00D856C6"/>
    <w:rsid w:val="00D85924"/>
    <w:rsid w:val="00D86168"/>
    <w:rsid w:val="00D86C25"/>
    <w:rsid w:val="00D86E67"/>
    <w:rsid w:val="00D8709D"/>
    <w:rsid w:val="00D87907"/>
    <w:rsid w:val="00D87974"/>
    <w:rsid w:val="00D87F8F"/>
    <w:rsid w:val="00D90FD0"/>
    <w:rsid w:val="00D91207"/>
    <w:rsid w:val="00D92460"/>
    <w:rsid w:val="00D92642"/>
    <w:rsid w:val="00D9347B"/>
    <w:rsid w:val="00D93CE2"/>
    <w:rsid w:val="00D94A80"/>
    <w:rsid w:val="00D94C81"/>
    <w:rsid w:val="00D97D86"/>
    <w:rsid w:val="00D97FB2"/>
    <w:rsid w:val="00DA050A"/>
    <w:rsid w:val="00DA09DE"/>
    <w:rsid w:val="00DA2387"/>
    <w:rsid w:val="00DA250B"/>
    <w:rsid w:val="00DA2DCB"/>
    <w:rsid w:val="00DA31A4"/>
    <w:rsid w:val="00DA46D0"/>
    <w:rsid w:val="00DA593E"/>
    <w:rsid w:val="00DA5AF3"/>
    <w:rsid w:val="00DA5B1E"/>
    <w:rsid w:val="00DA6134"/>
    <w:rsid w:val="00DB0478"/>
    <w:rsid w:val="00DB0D3E"/>
    <w:rsid w:val="00DB0EB0"/>
    <w:rsid w:val="00DB42DC"/>
    <w:rsid w:val="00DB450A"/>
    <w:rsid w:val="00DB62A6"/>
    <w:rsid w:val="00DB68AE"/>
    <w:rsid w:val="00DC09EA"/>
    <w:rsid w:val="00DC0FA2"/>
    <w:rsid w:val="00DC1835"/>
    <w:rsid w:val="00DC1C77"/>
    <w:rsid w:val="00DC2E6A"/>
    <w:rsid w:val="00DC3491"/>
    <w:rsid w:val="00DC3BE1"/>
    <w:rsid w:val="00DC3D33"/>
    <w:rsid w:val="00DC4C32"/>
    <w:rsid w:val="00DC4F9C"/>
    <w:rsid w:val="00DC5525"/>
    <w:rsid w:val="00DC5E63"/>
    <w:rsid w:val="00DC6B8B"/>
    <w:rsid w:val="00DC6EA1"/>
    <w:rsid w:val="00DC7868"/>
    <w:rsid w:val="00DD0017"/>
    <w:rsid w:val="00DD271E"/>
    <w:rsid w:val="00DD3E93"/>
    <w:rsid w:val="00DD4435"/>
    <w:rsid w:val="00DD6A23"/>
    <w:rsid w:val="00DE0089"/>
    <w:rsid w:val="00DE097A"/>
    <w:rsid w:val="00DE09F5"/>
    <w:rsid w:val="00DE299E"/>
    <w:rsid w:val="00DE2C98"/>
    <w:rsid w:val="00DE2E6D"/>
    <w:rsid w:val="00DE3460"/>
    <w:rsid w:val="00DE36CF"/>
    <w:rsid w:val="00DE4132"/>
    <w:rsid w:val="00DE4245"/>
    <w:rsid w:val="00DE55B5"/>
    <w:rsid w:val="00DE570E"/>
    <w:rsid w:val="00DE6088"/>
    <w:rsid w:val="00DE67CE"/>
    <w:rsid w:val="00DE6CFA"/>
    <w:rsid w:val="00DE7492"/>
    <w:rsid w:val="00DE74CB"/>
    <w:rsid w:val="00DF0EF4"/>
    <w:rsid w:val="00DF101F"/>
    <w:rsid w:val="00DF115D"/>
    <w:rsid w:val="00DF233A"/>
    <w:rsid w:val="00DF2A67"/>
    <w:rsid w:val="00DF2FCE"/>
    <w:rsid w:val="00DF351E"/>
    <w:rsid w:val="00DF393A"/>
    <w:rsid w:val="00DF47D3"/>
    <w:rsid w:val="00DF59F6"/>
    <w:rsid w:val="00DF6131"/>
    <w:rsid w:val="00DF6FC5"/>
    <w:rsid w:val="00DF74AF"/>
    <w:rsid w:val="00DF7B45"/>
    <w:rsid w:val="00DF7F85"/>
    <w:rsid w:val="00E01044"/>
    <w:rsid w:val="00E010FC"/>
    <w:rsid w:val="00E028FC"/>
    <w:rsid w:val="00E02F3B"/>
    <w:rsid w:val="00E03485"/>
    <w:rsid w:val="00E034FF"/>
    <w:rsid w:val="00E03E94"/>
    <w:rsid w:val="00E04CD1"/>
    <w:rsid w:val="00E04F38"/>
    <w:rsid w:val="00E05390"/>
    <w:rsid w:val="00E05C95"/>
    <w:rsid w:val="00E061CD"/>
    <w:rsid w:val="00E069DE"/>
    <w:rsid w:val="00E06AD1"/>
    <w:rsid w:val="00E06C61"/>
    <w:rsid w:val="00E075A5"/>
    <w:rsid w:val="00E075DF"/>
    <w:rsid w:val="00E075E2"/>
    <w:rsid w:val="00E10A94"/>
    <w:rsid w:val="00E12804"/>
    <w:rsid w:val="00E130B7"/>
    <w:rsid w:val="00E137C6"/>
    <w:rsid w:val="00E13CC6"/>
    <w:rsid w:val="00E1406D"/>
    <w:rsid w:val="00E15070"/>
    <w:rsid w:val="00E15475"/>
    <w:rsid w:val="00E15493"/>
    <w:rsid w:val="00E15BBF"/>
    <w:rsid w:val="00E17748"/>
    <w:rsid w:val="00E1783F"/>
    <w:rsid w:val="00E17B1D"/>
    <w:rsid w:val="00E204FA"/>
    <w:rsid w:val="00E20B9F"/>
    <w:rsid w:val="00E210E0"/>
    <w:rsid w:val="00E21377"/>
    <w:rsid w:val="00E21A7A"/>
    <w:rsid w:val="00E21D71"/>
    <w:rsid w:val="00E21DEB"/>
    <w:rsid w:val="00E2213B"/>
    <w:rsid w:val="00E234E3"/>
    <w:rsid w:val="00E23B46"/>
    <w:rsid w:val="00E243FF"/>
    <w:rsid w:val="00E24BE1"/>
    <w:rsid w:val="00E25200"/>
    <w:rsid w:val="00E25F46"/>
    <w:rsid w:val="00E26388"/>
    <w:rsid w:val="00E268D1"/>
    <w:rsid w:val="00E27397"/>
    <w:rsid w:val="00E2753F"/>
    <w:rsid w:val="00E27CA3"/>
    <w:rsid w:val="00E30C8D"/>
    <w:rsid w:val="00E30FF4"/>
    <w:rsid w:val="00E31D66"/>
    <w:rsid w:val="00E321D2"/>
    <w:rsid w:val="00E321FA"/>
    <w:rsid w:val="00E32657"/>
    <w:rsid w:val="00E32684"/>
    <w:rsid w:val="00E336EC"/>
    <w:rsid w:val="00E34D9C"/>
    <w:rsid w:val="00E34EE0"/>
    <w:rsid w:val="00E3535F"/>
    <w:rsid w:val="00E35988"/>
    <w:rsid w:val="00E3642C"/>
    <w:rsid w:val="00E3681C"/>
    <w:rsid w:val="00E36CF9"/>
    <w:rsid w:val="00E372E3"/>
    <w:rsid w:val="00E37729"/>
    <w:rsid w:val="00E37B9F"/>
    <w:rsid w:val="00E37C36"/>
    <w:rsid w:val="00E40105"/>
    <w:rsid w:val="00E40DE0"/>
    <w:rsid w:val="00E40E21"/>
    <w:rsid w:val="00E41BBC"/>
    <w:rsid w:val="00E42094"/>
    <w:rsid w:val="00E4224A"/>
    <w:rsid w:val="00E42325"/>
    <w:rsid w:val="00E423CA"/>
    <w:rsid w:val="00E42663"/>
    <w:rsid w:val="00E4281C"/>
    <w:rsid w:val="00E433B8"/>
    <w:rsid w:val="00E436C2"/>
    <w:rsid w:val="00E43C4E"/>
    <w:rsid w:val="00E4402C"/>
    <w:rsid w:val="00E453B3"/>
    <w:rsid w:val="00E45611"/>
    <w:rsid w:val="00E46122"/>
    <w:rsid w:val="00E461DB"/>
    <w:rsid w:val="00E46D65"/>
    <w:rsid w:val="00E476FA"/>
    <w:rsid w:val="00E47AF7"/>
    <w:rsid w:val="00E47CF0"/>
    <w:rsid w:val="00E50081"/>
    <w:rsid w:val="00E500FD"/>
    <w:rsid w:val="00E50AD4"/>
    <w:rsid w:val="00E51134"/>
    <w:rsid w:val="00E521BE"/>
    <w:rsid w:val="00E52AB0"/>
    <w:rsid w:val="00E5324F"/>
    <w:rsid w:val="00E53B4D"/>
    <w:rsid w:val="00E53FF3"/>
    <w:rsid w:val="00E54A71"/>
    <w:rsid w:val="00E54BBC"/>
    <w:rsid w:val="00E5726C"/>
    <w:rsid w:val="00E57DE0"/>
    <w:rsid w:val="00E622F4"/>
    <w:rsid w:val="00E62902"/>
    <w:rsid w:val="00E63029"/>
    <w:rsid w:val="00E633EA"/>
    <w:rsid w:val="00E647E5"/>
    <w:rsid w:val="00E64ABC"/>
    <w:rsid w:val="00E65DBF"/>
    <w:rsid w:val="00E6797D"/>
    <w:rsid w:val="00E67BDD"/>
    <w:rsid w:val="00E67DEA"/>
    <w:rsid w:val="00E70015"/>
    <w:rsid w:val="00E70685"/>
    <w:rsid w:val="00E71050"/>
    <w:rsid w:val="00E715DF"/>
    <w:rsid w:val="00E71A7E"/>
    <w:rsid w:val="00E71BE1"/>
    <w:rsid w:val="00E71E7D"/>
    <w:rsid w:val="00E72559"/>
    <w:rsid w:val="00E7310D"/>
    <w:rsid w:val="00E73614"/>
    <w:rsid w:val="00E737E4"/>
    <w:rsid w:val="00E74510"/>
    <w:rsid w:val="00E76FAF"/>
    <w:rsid w:val="00E7793C"/>
    <w:rsid w:val="00E81017"/>
    <w:rsid w:val="00E811A9"/>
    <w:rsid w:val="00E81676"/>
    <w:rsid w:val="00E81D98"/>
    <w:rsid w:val="00E827DE"/>
    <w:rsid w:val="00E82BFA"/>
    <w:rsid w:val="00E82EC1"/>
    <w:rsid w:val="00E82F51"/>
    <w:rsid w:val="00E83CFD"/>
    <w:rsid w:val="00E84988"/>
    <w:rsid w:val="00E855F4"/>
    <w:rsid w:val="00E8567F"/>
    <w:rsid w:val="00E85B7B"/>
    <w:rsid w:val="00E86038"/>
    <w:rsid w:val="00E868D1"/>
    <w:rsid w:val="00E86AE2"/>
    <w:rsid w:val="00E86E90"/>
    <w:rsid w:val="00E87170"/>
    <w:rsid w:val="00E871AB"/>
    <w:rsid w:val="00E87EB7"/>
    <w:rsid w:val="00E91593"/>
    <w:rsid w:val="00E915F9"/>
    <w:rsid w:val="00E92217"/>
    <w:rsid w:val="00E922E0"/>
    <w:rsid w:val="00E92A03"/>
    <w:rsid w:val="00E92BC4"/>
    <w:rsid w:val="00E92C6F"/>
    <w:rsid w:val="00E93423"/>
    <w:rsid w:val="00E940FD"/>
    <w:rsid w:val="00E951D3"/>
    <w:rsid w:val="00E95910"/>
    <w:rsid w:val="00E95E8E"/>
    <w:rsid w:val="00E96D36"/>
    <w:rsid w:val="00E96DFC"/>
    <w:rsid w:val="00E974B4"/>
    <w:rsid w:val="00EA092C"/>
    <w:rsid w:val="00EA14D2"/>
    <w:rsid w:val="00EA1CA6"/>
    <w:rsid w:val="00EA2FF4"/>
    <w:rsid w:val="00EA46EF"/>
    <w:rsid w:val="00EA47B2"/>
    <w:rsid w:val="00EA53A8"/>
    <w:rsid w:val="00EA5EB1"/>
    <w:rsid w:val="00EA6128"/>
    <w:rsid w:val="00EA66A6"/>
    <w:rsid w:val="00EA7B6D"/>
    <w:rsid w:val="00EA7FAA"/>
    <w:rsid w:val="00EB0128"/>
    <w:rsid w:val="00EB05A5"/>
    <w:rsid w:val="00EB0D57"/>
    <w:rsid w:val="00EB1FB1"/>
    <w:rsid w:val="00EB2231"/>
    <w:rsid w:val="00EB29C9"/>
    <w:rsid w:val="00EB33FF"/>
    <w:rsid w:val="00EB34C4"/>
    <w:rsid w:val="00EB3AC2"/>
    <w:rsid w:val="00EB3E6C"/>
    <w:rsid w:val="00EB42F8"/>
    <w:rsid w:val="00EB44F0"/>
    <w:rsid w:val="00EB4AC1"/>
    <w:rsid w:val="00EB5653"/>
    <w:rsid w:val="00EB6922"/>
    <w:rsid w:val="00EB6956"/>
    <w:rsid w:val="00EB71B0"/>
    <w:rsid w:val="00EC0052"/>
    <w:rsid w:val="00EC0BA0"/>
    <w:rsid w:val="00EC0D59"/>
    <w:rsid w:val="00EC1A53"/>
    <w:rsid w:val="00EC1A63"/>
    <w:rsid w:val="00EC1BBB"/>
    <w:rsid w:val="00EC2318"/>
    <w:rsid w:val="00EC3B8F"/>
    <w:rsid w:val="00EC3CC7"/>
    <w:rsid w:val="00EC3DF7"/>
    <w:rsid w:val="00EC4873"/>
    <w:rsid w:val="00EC5DA7"/>
    <w:rsid w:val="00EC5E1C"/>
    <w:rsid w:val="00EC6253"/>
    <w:rsid w:val="00EC635E"/>
    <w:rsid w:val="00EC7017"/>
    <w:rsid w:val="00EC7220"/>
    <w:rsid w:val="00ED0182"/>
    <w:rsid w:val="00ED03FB"/>
    <w:rsid w:val="00ED051B"/>
    <w:rsid w:val="00ED18F0"/>
    <w:rsid w:val="00ED2447"/>
    <w:rsid w:val="00ED26CA"/>
    <w:rsid w:val="00ED2978"/>
    <w:rsid w:val="00ED3B22"/>
    <w:rsid w:val="00ED5123"/>
    <w:rsid w:val="00EE04BD"/>
    <w:rsid w:val="00EE0601"/>
    <w:rsid w:val="00EE0C75"/>
    <w:rsid w:val="00EE0FF9"/>
    <w:rsid w:val="00EE14F5"/>
    <w:rsid w:val="00EE1F8A"/>
    <w:rsid w:val="00EE2122"/>
    <w:rsid w:val="00EE25FC"/>
    <w:rsid w:val="00EE2623"/>
    <w:rsid w:val="00EE2F3D"/>
    <w:rsid w:val="00EE33C2"/>
    <w:rsid w:val="00EE3573"/>
    <w:rsid w:val="00EE5E4E"/>
    <w:rsid w:val="00EE6BDA"/>
    <w:rsid w:val="00EE7239"/>
    <w:rsid w:val="00EE72E8"/>
    <w:rsid w:val="00EE77BA"/>
    <w:rsid w:val="00EF1CC9"/>
    <w:rsid w:val="00EF29DA"/>
    <w:rsid w:val="00EF2A50"/>
    <w:rsid w:val="00EF3994"/>
    <w:rsid w:val="00EF3B73"/>
    <w:rsid w:val="00EF3DA5"/>
    <w:rsid w:val="00EF5B77"/>
    <w:rsid w:val="00EF5F53"/>
    <w:rsid w:val="00EF677B"/>
    <w:rsid w:val="00EF6A28"/>
    <w:rsid w:val="00EF7F5F"/>
    <w:rsid w:val="00F00FEF"/>
    <w:rsid w:val="00F0335D"/>
    <w:rsid w:val="00F034E7"/>
    <w:rsid w:val="00F03AF4"/>
    <w:rsid w:val="00F04B72"/>
    <w:rsid w:val="00F04DBF"/>
    <w:rsid w:val="00F052C4"/>
    <w:rsid w:val="00F0555F"/>
    <w:rsid w:val="00F06C55"/>
    <w:rsid w:val="00F070EE"/>
    <w:rsid w:val="00F10590"/>
    <w:rsid w:val="00F10DF1"/>
    <w:rsid w:val="00F11896"/>
    <w:rsid w:val="00F119FC"/>
    <w:rsid w:val="00F13A12"/>
    <w:rsid w:val="00F13ABB"/>
    <w:rsid w:val="00F144FD"/>
    <w:rsid w:val="00F14A20"/>
    <w:rsid w:val="00F14CBA"/>
    <w:rsid w:val="00F150BD"/>
    <w:rsid w:val="00F15214"/>
    <w:rsid w:val="00F154E2"/>
    <w:rsid w:val="00F17542"/>
    <w:rsid w:val="00F20376"/>
    <w:rsid w:val="00F20A7C"/>
    <w:rsid w:val="00F21F8F"/>
    <w:rsid w:val="00F22475"/>
    <w:rsid w:val="00F22867"/>
    <w:rsid w:val="00F22BA5"/>
    <w:rsid w:val="00F23175"/>
    <w:rsid w:val="00F2369F"/>
    <w:rsid w:val="00F24976"/>
    <w:rsid w:val="00F25267"/>
    <w:rsid w:val="00F2544B"/>
    <w:rsid w:val="00F25F64"/>
    <w:rsid w:val="00F26B50"/>
    <w:rsid w:val="00F26B77"/>
    <w:rsid w:val="00F271A8"/>
    <w:rsid w:val="00F273C7"/>
    <w:rsid w:val="00F27998"/>
    <w:rsid w:val="00F27A79"/>
    <w:rsid w:val="00F27D83"/>
    <w:rsid w:val="00F301CE"/>
    <w:rsid w:val="00F304F8"/>
    <w:rsid w:val="00F3104B"/>
    <w:rsid w:val="00F31497"/>
    <w:rsid w:val="00F31A41"/>
    <w:rsid w:val="00F31C65"/>
    <w:rsid w:val="00F330B9"/>
    <w:rsid w:val="00F33521"/>
    <w:rsid w:val="00F338F4"/>
    <w:rsid w:val="00F33DFE"/>
    <w:rsid w:val="00F348A2"/>
    <w:rsid w:val="00F3509F"/>
    <w:rsid w:val="00F35DE7"/>
    <w:rsid w:val="00F35E32"/>
    <w:rsid w:val="00F36283"/>
    <w:rsid w:val="00F37752"/>
    <w:rsid w:val="00F379BA"/>
    <w:rsid w:val="00F40BDC"/>
    <w:rsid w:val="00F41280"/>
    <w:rsid w:val="00F41E76"/>
    <w:rsid w:val="00F43851"/>
    <w:rsid w:val="00F44750"/>
    <w:rsid w:val="00F44B93"/>
    <w:rsid w:val="00F44D83"/>
    <w:rsid w:val="00F4538E"/>
    <w:rsid w:val="00F45962"/>
    <w:rsid w:val="00F464C8"/>
    <w:rsid w:val="00F46B34"/>
    <w:rsid w:val="00F50ACE"/>
    <w:rsid w:val="00F50FD8"/>
    <w:rsid w:val="00F51FB5"/>
    <w:rsid w:val="00F534F4"/>
    <w:rsid w:val="00F53AFF"/>
    <w:rsid w:val="00F5476C"/>
    <w:rsid w:val="00F5566C"/>
    <w:rsid w:val="00F55970"/>
    <w:rsid w:val="00F55A55"/>
    <w:rsid w:val="00F55ADA"/>
    <w:rsid w:val="00F56778"/>
    <w:rsid w:val="00F56CB2"/>
    <w:rsid w:val="00F56D45"/>
    <w:rsid w:val="00F5713B"/>
    <w:rsid w:val="00F574DA"/>
    <w:rsid w:val="00F6068E"/>
    <w:rsid w:val="00F60D95"/>
    <w:rsid w:val="00F611BD"/>
    <w:rsid w:val="00F614D2"/>
    <w:rsid w:val="00F61B74"/>
    <w:rsid w:val="00F61DA1"/>
    <w:rsid w:val="00F62B99"/>
    <w:rsid w:val="00F62CCD"/>
    <w:rsid w:val="00F63023"/>
    <w:rsid w:val="00F64A26"/>
    <w:rsid w:val="00F7233A"/>
    <w:rsid w:val="00F72A51"/>
    <w:rsid w:val="00F72B99"/>
    <w:rsid w:val="00F73841"/>
    <w:rsid w:val="00F73CBA"/>
    <w:rsid w:val="00F73EDF"/>
    <w:rsid w:val="00F742A7"/>
    <w:rsid w:val="00F74DA0"/>
    <w:rsid w:val="00F74ECD"/>
    <w:rsid w:val="00F75877"/>
    <w:rsid w:val="00F75E1A"/>
    <w:rsid w:val="00F7615F"/>
    <w:rsid w:val="00F76341"/>
    <w:rsid w:val="00F7637E"/>
    <w:rsid w:val="00F76E57"/>
    <w:rsid w:val="00F7760F"/>
    <w:rsid w:val="00F80EFB"/>
    <w:rsid w:val="00F811CC"/>
    <w:rsid w:val="00F81538"/>
    <w:rsid w:val="00F82095"/>
    <w:rsid w:val="00F825C9"/>
    <w:rsid w:val="00F82A67"/>
    <w:rsid w:val="00F82F94"/>
    <w:rsid w:val="00F83249"/>
    <w:rsid w:val="00F83ADC"/>
    <w:rsid w:val="00F84AD4"/>
    <w:rsid w:val="00F8504F"/>
    <w:rsid w:val="00F85D54"/>
    <w:rsid w:val="00F85DC2"/>
    <w:rsid w:val="00F867D8"/>
    <w:rsid w:val="00F90253"/>
    <w:rsid w:val="00F90626"/>
    <w:rsid w:val="00F90651"/>
    <w:rsid w:val="00F90ED5"/>
    <w:rsid w:val="00F919E0"/>
    <w:rsid w:val="00F91C4F"/>
    <w:rsid w:val="00F91F4E"/>
    <w:rsid w:val="00F91F55"/>
    <w:rsid w:val="00F920C3"/>
    <w:rsid w:val="00F9385C"/>
    <w:rsid w:val="00F93A63"/>
    <w:rsid w:val="00F9425D"/>
    <w:rsid w:val="00F94DDA"/>
    <w:rsid w:val="00F94EA2"/>
    <w:rsid w:val="00F95451"/>
    <w:rsid w:val="00F96018"/>
    <w:rsid w:val="00F96AD0"/>
    <w:rsid w:val="00F97A3E"/>
    <w:rsid w:val="00FA0D83"/>
    <w:rsid w:val="00FA141C"/>
    <w:rsid w:val="00FA1449"/>
    <w:rsid w:val="00FA2E72"/>
    <w:rsid w:val="00FA37FE"/>
    <w:rsid w:val="00FA3B01"/>
    <w:rsid w:val="00FA4AAA"/>
    <w:rsid w:val="00FA4EEB"/>
    <w:rsid w:val="00FA4F06"/>
    <w:rsid w:val="00FA678F"/>
    <w:rsid w:val="00FA6A42"/>
    <w:rsid w:val="00FA6BE8"/>
    <w:rsid w:val="00FA797C"/>
    <w:rsid w:val="00FB0694"/>
    <w:rsid w:val="00FB1E75"/>
    <w:rsid w:val="00FB273A"/>
    <w:rsid w:val="00FB30BA"/>
    <w:rsid w:val="00FB3259"/>
    <w:rsid w:val="00FB351D"/>
    <w:rsid w:val="00FB3D8C"/>
    <w:rsid w:val="00FB47FD"/>
    <w:rsid w:val="00FB49E5"/>
    <w:rsid w:val="00FB4C05"/>
    <w:rsid w:val="00FB56C4"/>
    <w:rsid w:val="00FB5CC1"/>
    <w:rsid w:val="00FB5D4D"/>
    <w:rsid w:val="00FB5F7B"/>
    <w:rsid w:val="00FB739F"/>
    <w:rsid w:val="00FC16D9"/>
    <w:rsid w:val="00FC1A52"/>
    <w:rsid w:val="00FC1F66"/>
    <w:rsid w:val="00FC1FF0"/>
    <w:rsid w:val="00FC36FA"/>
    <w:rsid w:val="00FC4235"/>
    <w:rsid w:val="00FC4BE7"/>
    <w:rsid w:val="00FC6AB3"/>
    <w:rsid w:val="00FD05C9"/>
    <w:rsid w:val="00FD0762"/>
    <w:rsid w:val="00FD07FF"/>
    <w:rsid w:val="00FD1745"/>
    <w:rsid w:val="00FD1780"/>
    <w:rsid w:val="00FD1B0D"/>
    <w:rsid w:val="00FD2338"/>
    <w:rsid w:val="00FD248E"/>
    <w:rsid w:val="00FD3656"/>
    <w:rsid w:val="00FD3F23"/>
    <w:rsid w:val="00FD5F94"/>
    <w:rsid w:val="00FD7DF2"/>
    <w:rsid w:val="00FD7E13"/>
    <w:rsid w:val="00FE01F6"/>
    <w:rsid w:val="00FE0436"/>
    <w:rsid w:val="00FE070F"/>
    <w:rsid w:val="00FE1117"/>
    <w:rsid w:val="00FE229C"/>
    <w:rsid w:val="00FE2704"/>
    <w:rsid w:val="00FE2778"/>
    <w:rsid w:val="00FE2BEB"/>
    <w:rsid w:val="00FE34B2"/>
    <w:rsid w:val="00FE4132"/>
    <w:rsid w:val="00FE498D"/>
    <w:rsid w:val="00FE4EBA"/>
    <w:rsid w:val="00FE6CA4"/>
    <w:rsid w:val="00FE758E"/>
    <w:rsid w:val="00FE7B73"/>
    <w:rsid w:val="00FF0DE8"/>
    <w:rsid w:val="00FF0DFA"/>
    <w:rsid w:val="00FF1A75"/>
    <w:rsid w:val="00FF2E72"/>
    <w:rsid w:val="00FF4886"/>
    <w:rsid w:val="00FF5347"/>
    <w:rsid w:val="00FF5745"/>
    <w:rsid w:val="00FF6EBD"/>
    <w:rsid w:val="00FF7255"/>
    <w:rsid w:val="00FF7A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C824CF"/>
  <w15:docId w15:val="{6781B791-E01F-4A3E-9500-A5005C56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52"/>
    <w:pPr>
      <w:spacing w:after="200" w:line="276" w:lineRule="auto"/>
    </w:pPr>
    <w:rPr>
      <w:rFonts w:ascii="Times New Roman" w:hAnsi="Times New Roman"/>
      <w:sz w:val="24"/>
    </w:rPr>
  </w:style>
  <w:style w:type="paragraph" w:styleId="Heading1">
    <w:name w:val="heading 1"/>
    <w:aliases w:val="Heading 1 FMR1"/>
    <w:basedOn w:val="Normal"/>
    <w:link w:val="Heading1Char"/>
    <w:uiPriority w:val="99"/>
    <w:qFormat/>
    <w:rsid w:val="00CE39AB"/>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9"/>
    <w:qFormat/>
    <w:rsid w:val="00CE39AB"/>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9"/>
    <w:qFormat/>
    <w:rsid w:val="00CE39AB"/>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9"/>
    <w:qFormat/>
    <w:rsid w:val="00B56C52"/>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unhideWhenUsed/>
    <w:qFormat/>
    <w:locked/>
    <w:rsid w:val="001D30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MR1 Char"/>
    <w:basedOn w:val="DefaultParagraphFont"/>
    <w:link w:val="Heading1"/>
    <w:uiPriority w:val="99"/>
    <w:locked/>
    <w:rsid w:val="00CE39A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CE39AB"/>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CE39AB"/>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56C52"/>
    <w:rPr>
      <w:rFonts w:ascii="Times New Roman" w:hAnsi="Times New Roman" w:cs="Times New Roman"/>
      <w:b/>
      <w:bCs/>
      <w:sz w:val="28"/>
      <w:szCs w:val="28"/>
    </w:rPr>
  </w:style>
  <w:style w:type="character" w:styleId="Hyperlink">
    <w:name w:val="Hyperlink"/>
    <w:basedOn w:val="DefaultParagraphFont"/>
    <w:uiPriority w:val="99"/>
    <w:rsid w:val="00CE39AB"/>
    <w:rPr>
      <w:rFonts w:cs="Times New Roman"/>
      <w:color w:val="0000FF"/>
      <w:u w:val="single"/>
    </w:rPr>
  </w:style>
  <w:style w:type="character" w:styleId="Strong">
    <w:name w:val="Strong"/>
    <w:basedOn w:val="DefaultParagraphFont"/>
    <w:uiPriority w:val="99"/>
    <w:qFormat/>
    <w:rsid w:val="00CE39AB"/>
    <w:rPr>
      <w:rFonts w:cs="Times New Roman"/>
      <w:b/>
      <w:bCs/>
    </w:rPr>
  </w:style>
  <w:style w:type="paragraph" w:styleId="z-TopofForm">
    <w:name w:val="HTML Top of Form"/>
    <w:basedOn w:val="Normal"/>
    <w:next w:val="Normal"/>
    <w:link w:val="z-TopofFormChar"/>
    <w:hidden/>
    <w:uiPriority w:val="99"/>
    <w:semiHidden/>
    <w:rsid w:val="00CE39AB"/>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locked/>
    <w:rsid w:val="00CE39AB"/>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CE39AB"/>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locked/>
    <w:rsid w:val="00CE39AB"/>
    <w:rPr>
      <w:rFonts w:ascii="Arial" w:hAnsi="Arial" w:cs="Arial"/>
      <w:vanish/>
      <w:sz w:val="16"/>
      <w:szCs w:val="16"/>
    </w:rPr>
  </w:style>
  <w:style w:type="paragraph" w:styleId="NormalWeb">
    <w:name w:val="Normal (Web)"/>
    <w:basedOn w:val="Normal"/>
    <w:uiPriority w:val="99"/>
    <w:rsid w:val="00CE39AB"/>
    <w:pPr>
      <w:spacing w:before="100" w:beforeAutospacing="1" w:after="100" w:afterAutospacing="1" w:line="240" w:lineRule="auto"/>
    </w:pPr>
    <w:rPr>
      <w:rFonts w:eastAsia="Times New Roman"/>
      <w:szCs w:val="24"/>
    </w:rPr>
  </w:style>
  <w:style w:type="paragraph" w:styleId="BalloonText">
    <w:name w:val="Balloon Text"/>
    <w:basedOn w:val="Normal"/>
    <w:link w:val="BalloonTextChar"/>
    <w:rsid w:val="00CE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CE39AB"/>
    <w:rPr>
      <w:rFonts w:ascii="Tahoma" w:hAnsi="Tahoma" w:cs="Tahoma"/>
      <w:sz w:val="16"/>
      <w:szCs w:val="16"/>
    </w:rPr>
  </w:style>
  <w:style w:type="paragraph" w:styleId="ListParagraph">
    <w:name w:val="List Paragraph"/>
    <w:basedOn w:val="Normal"/>
    <w:link w:val="ListParagraphChar"/>
    <w:uiPriority w:val="34"/>
    <w:qFormat/>
    <w:rsid w:val="00C46B20"/>
    <w:pPr>
      <w:ind w:left="720"/>
      <w:contextualSpacing/>
    </w:pPr>
  </w:style>
  <w:style w:type="character" w:styleId="CommentReference">
    <w:name w:val="annotation reference"/>
    <w:basedOn w:val="DefaultParagraphFont"/>
    <w:uiPriority w:val="99"/>
    <w:rsid w:val="0004598A"/>
    <w:rPr>
      <w:rFonts w:cs="Times New Roman"/>
      <w:sz w:val="16"/>
      <w:szCs w:val="16"/>
    </w:rPr>
  </w:style>
  <w:style w:type="paragraph" w:styleId="CommentText">
    <w:name w:val="annotation text"/>
    <w:basedOn w:val="Normal"/>
    <w:link w:val="CommentTextChar"/>
    <w:uiPriority w:val="99"/>
    <w:rsid w:val="0004598A"/>
    <w:pPr>
      <w:spacing w:line="240" w:lineRule="auto"/>
    </w:pPr>
    <w:rPr>
      <w:rFonts w:cs="Arial"/>
      <w:sz w:val="20"/>
      <w:szCs w:val="20"/>
    </w:rPr>
  </w:style>
  <w:style w:type="character" w:customStyle="1" w:styleId="CommentTextChar">
    <w:name w:val="Comment Text Char"/>
    <w:basedOn w:val="DefaultParagraphFont"/>
    <w:link w:val="CommentText"/>
    <w:uiPriority w:val="99"/>
    <w:locked/>
    <w:rsid w:val="0004598A"/>
    <w:rPr>
      <w:rFonts w:ascii="Arial" w:hAnsi="Arial" w:cs="Arial"/>
      <w:sz w:val="20"/>
      <w:szCs w:val="20"/>
    </w:rPr>
  </w:style>
  <w:style w:type="paragraph" w:styleId="PlainText">
    <w:name w:val="Plain Text"/>
    <w:basedOn w:val="Normal"/>
    <w:link w:val="PlainTextChar"/>
    <w:uiPriority w:val="99"/>
    <w:semiHidden/>
    <w:rsid w:val="00F61D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F61DA1"/>
    <w:rPr>
      <w:rFonts w:ascii="Consolas" w:hAnsi="Consolas" w:cs="Times New Roman"/>
      <w:sz w:val="21"/>
      <w:szCs w:val="21"/>
    </w:rPr>
  </w:style>
  <w:style w:type="paragraph" w:customStyle="1" w:styleId="NPR10">
    <w:name w:val="NPR 1"/>
    <w:basedOn w:val="Normal"/>
    <w:qFormat/>
    <w:rsid w:val="00277C9F"/>
    <w:pPr>
      <w:numPr>
        <w:numId w:val="1"/>
      </w:numPr>
      <w:spacing w:after="240" w:line="240" w:lineRule="auto"/>
    </w:pPr>
    <w:rPr>
      <w:b/>
      <w:sz w:val="28"/>
      <w:szCs w:val="28"/>
    </w:rPr>
  </w:style>
  <w:style w:type="paragraph" w:customStyle="1" w:styleId="NPR2">
    <w:name w:val="NPR 2"/>
    <w:basedOn w:val="Normal"/>
    <w:link w:val="NPR2Char"/>
    <w:qFormat/>
    <w:rsid w:val="000E7AE1"/>
    <w:pPr>
      <w:numPr>
        <w:ilvl w:val="1"/>
        <w:numId w:val="11"/>
      </w:numPr>
      <w:spacing w:after="240" w:line="240" w:lineRule="auto"/>
    </w:pPr>
    <w:rPr>
      <w:b/>
      <w:szCs w:val="24"/>
    </w:rPr>
  </w:style>
  <w:style w:type="paragraph" w:customStyle="1" w:styleId="NPR3">
    <w:name w:val="NPR 3"/>
    <w:basedOn w:val="NPR2"/>
    <w:link w:val="NPR3Char"/>
    <w:qFormat/>
    <w:rsid w:val="00890F64"/>
    <w:pPr>
      <w:numPr>
        <w:ilvl w:val="2"/>
      </w:numPr>
      <w:ind w:left="0"/>
    </w:pPr>
    <w:rPr>
      <w:b w:val="0"/>
    </w:rPr>
  </w:style>
  <w:style w:type="paragraph" w:customStyle="1" w:styleId="NPR4">
    <w:name w:val="NPR 4"/>
    <w:basedOn w:val="NPR3"/>
    <w:link w:val="NPR4Char"/>
    <w:qFormat/>
    <w:rsid w:val="006A15EA"/>
    <w:pPr>
      <w:numPr>
        <w:ilvl w:val="0"/>
        <w:numId w:val="0"/>
      </w:numPr>
    </w:pPr>
  </w:style>
  <w:style w:type="paragraph" w:customStyle="1" w:styleId="NPRlist1">
    <w:name w:val="NPR list 1"/>
    <w:basedOn w:val="Normal"/>
    <w:uiPriority w:val="99"/>
    <w:rsid w:val="007C5628"/>
    <w:pPr>
      <w:numPr>
        <w:numId w:val="8"/>
      </w:numPr>
      <w:spacing w:after="240" w:line="240" w:lineRule="auto"/>
    </w:pPr>
    <w:rPr>
      <w:szCs w:val="24"/>
    </w:rPr>
  </w:style>
  <w:style w:type="paragraph" w:customStyle="1" w:styleId="NPRlist2">
    <w:name w:val="NPR list 2"/>
    <w:basedOn w:val="NPRlist1"/>
    <w:uiPriority w:val="99"/>
    <w:qFormat/>
    <w:rsid w:val="001503F0"/>
    <w:pPr>
      <w:numPr>
        <w:ilvl w:val="1"/>
      </w:numPr>
    </w:pPr>
  </w:style>
  <w:style w:type="paragraph" w:customStyle="1" w:styleId="NPRlist3">
    <w:name w:val="NPR list 3"/>
    <w:basedOn w:val="NPRlist2"/>
    <w:uiPriority w:val="99"/>
    <w:qFormat/>
    <w:rsid w:val="00366C9B"/>
    <w:pPr>
      <w:numPr>
        <w:ilvl w:val="2"/>
      </w:numPr>
    </w:pPr>
  </w:style>
  <w:style w:type="paragraph" w:customStyle="1" w:styleId="NPR5">
    <w:name w:val="NPR 5"/>
    <w:basedOn w:val="NPR4"/>
    <w:uiPriority w:val="99"/>
    <w:rsid w:val="001A159C"/>
    <w:pPr>
      <w:numPr>
        <w:ilvl w:val="4"/>
      </w:numPr>
    </w:pPr>
  </w:style>
  <w:style w:type="paragraph" w:styleId="Header">
    <w:name w:val="header"/>
    <w:basedOn w:val="Normal"/>
    <w:link w:val="HeaderChar"/>
    <w:uiPriority w:val="99"/>
    <w:rsid w:val="00166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66694"/>
    <w:rPr>
      <w:rFonts w:cs="Times New Roman"/>
    </w:rPr>
  </w:style>
  <w:style w:type="paragraph" w:styleId="Footer">
    <w:name w:val="footer"/>
    <w:basedOn w:val="Normal"/>
    <w:link w:val="FooterChar"/>
    <w:uiPriority w:val="99"/>
    <w:rsid w:val="001666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6694"/>
    <w:rPr>
      <w:rFonts w:cs="Times New Roman"/>
    </w:rPr>
  </w:style>
  <w:style w:type="paragraph" w:styleId="CommentSubject">
    <w:name w:val="annotation subject"/>
    <w:basedOn w:val="CommentText"/>
    <w:next w:val="CommentText"/>
    <w:link w:val="CommentSubjectChar"/>
    <w:uiPriority w:val="99"/>
    <w:rsid w:val="00166694"/>
    <w:rPr>
      <w:rFonts w:ascii="Calibri" w:hAnsi="Calibri" w:cs="Times New Roman"/>
      <w:b/>
      <w:bCs/>
    </w:rPr>
  </w:style>
  <w:style w:type="character" w:customStyle="1" w:styleId="CommentSubjectChar">
    <w:name w:val="Comment Subject Char"/>
    <w:basedOn w:val="CommentTextChar"/>
    <w:link w:val="CommentSubject"/>
    <w:uiPriority w:val="99"/>
    <w:locked/>
    <w:rsid w:val="00166694"/>
    <w:rPr>
      <w:rFonts w:ascii="Arial" w:hAnsi="Arial" w:cs="Arial"/>
      <w:b/>
      <w:bCs/>
      <w:sz w:val="20"/>
      <w:szCs w:val="20"/>
    </w:rPr>
  </w:style>
  <w:style w:type="paragraph" w:styleId="TOC1">
    <w:name w:val="toc 1"/>
    <w:basedOn w:val="Normal"/>
    <w:next w:val="Normal"/>
    <w:autoRedefine/>
    <w:uiPriority w:val="39"/>
    <w:rsid w:val="008C1535"/>
    <w:pPr>
      <w:tabs>
        <w:tab w:val="right" w:leader="dot" w:pos="9350"/>
      </w:tabs>
      <w:spacing w:before="240" w:after="120" w:line="240" w:lineRule="auto"/>
    </w:pPr>
    <w:rPr>
      <w:b/>
      <w:bCs/>
      <w:noProof/>
      <w:szCs w:val="24"/>
    </w:rPr>
  </w:style>
  <w:style w:type="paragraph" w:styleId="TOC2">
    <w:name w:val="toc 2"/>
    <w:basedOn w:val="Normal"/>
    <w:next w:val="Normal"/>
    <w:autoRedefine/>
    <w:uiPriority w:val="39"/>
    <w:rsid w:val="006E741A"/>
    <w:pPr>
      <w:tabs>
        <w:tab w:val="right" w:leader="dot" w:pos="9350"/>
      </w:tabs>
      <w:spacing w:after="0" w:line="240" w:lineRule="auto"/>
      <w:ind w:left="360" w:hanging="360"/>
    </w:pPr>
  </w:style>
  <w:style w:type="paragraph" w:customStyle="1" w:styleId="Preface1">
    <w:name w:val="Preface 1"/>
    <w:basedOn w:val="Normal"/>
    <w:qFormat/>
    <w:rsid w:val="00425B19"/>
    <w:pPr>
      <w:spacing w:before="100" w:beforeAutospacing="1" w:after="100" w:afterAutospacing="1" w:line="240" w:lineRule="auto"/>
      <w:outlineLvl w:val="0"/>
    </w:pPr>
    <w:rPr>
      <w:rFonts w:eastAsia="Times New Roman" w:cs="Arial"/>
      <w:b/>
      <w:bCs/>
      <w:kern w:val="36"/>
      <w:sz w:val="36"/>
      <w:szCs w:val="36"/>
    </w:rPr>
  </w:style>
  <w:style w:type="paragraph" w:customStyle="1" w:styleId="Preface2">
    <w:name w:val="Preface 2"/>
    <w:basedOn w:val="Normal"/>
    <w:uiPriority w:val="99"/>
    <w:qFormat/>
    <w:rsid w:val="00425B19"/>
    <w:pPr>
      <w:spacing w:before="100" w:beforeAutospacing="1" w:after="100" w:afterAutospacing="1" w:line="240" w:lineRule="auto"/>
      <w:outlineLvl w:val="1"/>
    </w:pPr>
    <w:rPr>
      <w:rFonts w:eastAsia="Times New Roman" w:cs="Arial"/>
      <w:b/>
      <w:bCs/>
      <w:sz w:val="28"/>
      <w:szCs w:val="28"/>
    </w:rPr>
  </w:style>
  <w:style w:type="paragraph" w:styleId="TOC3">
    <w:name w:val="toc 3"/>
    <w:basedOn w:val="Normal"/>
    <w:next w:val="Normal"/>
    <w:autoRedefine/>
    <w:uiPriority w:val="99"/>
    <w:rsid w:val="00051E0B"/>
    <w:pPr>
      <w:spacing w:after="100"/>
      <w:ind w:left="440"/>
    </w:pPr>
  </w:style>
  <w:style w:type="paragraph" w:styleId="Revision">
    <w:name w:val="Revision"/>
    <w:hidden/>
    <w:uiPriority w:val="99"/>
    <w:semiHidden/>
    <w:rsid w:val="00CA2F8D"/>
    <w:rPr>
      <w:rFonts w:ascii="Arial" w:hAnsi="Arial"/>
    </w:rPr>
  </w:style>
  <w:style w:type="paragraph" w:styleId="NoSpacing">
    <w:name w:val="No Spacing"/>
    <w:uiPriority w:val="99"/>
    <w:qFormat/>
    <w:rsid w:val="001054AC"/>
    <w:rPr>
      <w:rFonts w:ascii="Arial" w:hAnsi="Arial" w:cs="Arial"/>
    </w:rPr>
  </w:style>
  <w:style w:type="paragraph" w:customStyle="1" w:styleId="Appendix1">
    <w:name w:val="Appendix 1"/>
    <w:basedOn w:val="Normal"/>
    <w:qFormat/>
    <w:rsid w:val="00CA11A6"/>
    <w:pPr>
      <w:numPr>
        <w:numId w:val="9"/>
      </w:numPr>
      <w:spacing w:after="240" w:line="240" w:lineRule="auto"/>
      <w:outlineLvl w:val="0"/>
    </w:pPr>
    <w:rPr>
      <w:rFonts w:eastAsia="Times New Roman" w:cs="Arial"/>
      <w:b/>
      <w:bCs/>
      <w:color w:val="000000"/>
      <w:kern w:val="36"/>
      <w:sz w:val="28"/>
      <w:szCs w:val="33"/>
    </w:rPr>
  </w:style>
  <w:style w:type="paragraph" w:customStyle="1" w:styleId="Appendix2">
    <w:name w:val="Appendix2"/>
    <w:basedOn w:val="Normal"/>
    <w:uiPriority w:val="99"/>
    <w:rsid w:val="00282CAC"/>
    <w:pPr>
      <w:numPr>
        <w:ilvl w:val="1"/>
        <w:numId w:val="9"/>
      </w:numPr>
      <w:spacing w:after="240" w:line="240" w:lineRule="auto"/>
    </w:pPr>
  </w:style>
  <w:style w:type="paragraph" w:customStyle="1" w:styleId="NPR1">
    <w:name w:val="NPR1"/>
    <w:basedOn w:val="Normal"/>
    <w:uiPriority w:val="99"/>
    <w:rsid w:val="00B56C52"/>
    <w:pPr>
      <w:numPr>
        <w:numId w:val="5"/>
      </w:numPr>
      <w:autoSpaceDE w:val="0"/>
      <w:autoSpaceDN w:val="0"/>
      <w:adjustRightInd w:val="0"/>
      <w:spacing w:after="240" w:line="240" w:lineRule="auto"/>
    </w:pPr>
    <w:rPr>
      <w:rFonts w:ascii="Arial" w:eastAsia="Times New Roman" w:hAnsi="Arial"/>
      <w:b/>
      <w:szCs w:val="24"/>
    </w:rPr>
  </w:style>
  <w:style w:type="paragraph" w:customStyle="1" w:styleId="NPR20">
    <w:name w:val="NPR2"/>
    <w:basedOn w:val="Normal"/>
    <w:uiPriority w:val="99"/>
    <w:rsid w:val="00B56C52"/>
    <w:pPr>
      <w:numPr>
        <w:numId w:val="6"/>
      </w:numPr>
      <w:autoSpaceDE w:val="0"/>
      <w:autoSpaceDN w:val="0"/>
      <w:adjustRightInd w:val="0"/>
      <w:spacing w:after="240" w:line="240" w:lineRule="auto"/>
    </w:pPr>
    <w:rPr>
      <w:rFonts w:ascii="Arial" w:eastAsia="Times New Roman" w:hAnsi="Arial"/>
      <w:sz w:val="22"/>
      <w:szCs w:val="24"/>
    </w:rPr>
  </w:style>
  <w:style w:type="paragraph" w:customStyle="1" w:styleId="FMR2">
    <w:name w:val="FMR 2"/>
    <w:basedOn w:val="Normal"/>
    <w:link w:val="FMR2Char"/>
    <w:uiPriority w:val="99"/>
    <w:rsid w:val="00B56C52"/>
    <w:pPr>
      <w:tabs>
        <w:tab w:val="num" w:pos="1800"/>
        <w:tab w:val="left" w:pos="2160"/>
      </w:tabs>
      <w:autoSpaceDE w:val="0"/>
      <w:autoSpaceDN w:val="0"/>
      <w:adjustRightInd w:val="0"/>
      <w:spacing w:after="240" w:line="240" w:lineRule="auto"/>
      <w:ind w:left="1800" w:hanging="1080"/>
    </w:pPr>
    <w:rPr>
      <w:rFonts w:ascii="Arial" w:eastAsia="Times New Roman" w:hAnsi="Arial"/>
      <w:sz w:val="22"/>
      <w:szCs w:val="24"/>
    </w:rPr>
  </w:style>
  <w:style w:type="character" w:customStyle="1" w:styleId="FMR2Char">
    <w:name w:val="FMR 2 Char"/>
    <w:basedOn w:val="DefaultParagraphFont"/>
    <w:link w:val="FMR2"/>
    <w:uiPriority w:val="99"/>
    <w:locked/>
    <w:rsid w:val="00B56C52"/>
    <w:rPr>
      <w:rFonts w:ascii="Arial" w:hAnsi="Arial" w:cs="Times New Roman"/>
      <w:sz w:val="24"/>
      <w:szCs w:val="24"/>
    </w:rPr>
  </w:style>
  <w:style w:type="paragraph" w:customStyle="1" w:styleId="FMR4">
    <w:name w:val="FMR 4"/>
    <w:basedOn w:val="FMR3"/>
    <w:link w:val="FMR4Char"/>
    <w:uiPriority w:val="99"/>
    <w:rsid w:val="00B56C52"/>
    <w:pPr>
      <w:tabs>
        <w:tab w:val="clear" w:pos="1800"/>
        <w:tab w:val="clear" w:pos="2160"/>
        <w:tab w:val="num" w:pos="360"/>
        <w:tab w:val="left" w:pos="2880"/>
      </w:tabs>
      <w:ind w:left="2160" w:hanging="360"/>
    </w:pPr>
  </w:style>
  <w:style w:type="paragraph" w:customStyle="1" w:styleId="FMR3">
    <w:name w:val="FMR 3"/>
    <w:basedOn w:val="FMR2"/>
    <w:link w:val="FMR3Char"/>
    <w:uiPriority w:val="99"/>
    <w:rsid w:val="00B56C52"/>
  </w:style>
  <w:style w:type="character" w:customStyle="1" w:styleId="FMR3Char">
    <w:name w:val="FMR 3 Char"/>
    <w:basedOn w:val="FMR2Char"/>
    <w:link w:val="FMR3"/>
    <w:uiPriority w:val="99"/>
    <w:locked/>
    <w:rsid w:val="00B56C52"/>
    <w:rPr>
      <w:rFonts w:ascii="Arial" w:hAnsi="Arial" w:cs="Times New Roman"/>
      <w:sz w:val="24"/>
      <w:szCs w:val="24"/>
    </w:rPr>
  </w:style>
  <w:style w:type="character" w:customStyle="1" w:styleId="FMR4Char">
    <w:name w:val="FMR 4 Char"/>
    <w:basedOn w:val="DefaultParagraphFont"/>
    <w:link w:val="FMR4"/>
    <w:uiPriority w:val="99"/>
    <w:locked/>
    <w:rsid w:val="00B56C52"/>
    <w:rPr>
      <w:rFonts w:ascii="Arial" w:hAnsi="Arial" w:cs="Times New Roman"/>
      <w:sz w:val="24"/>
      <w:szCs w:val="24"/>
    </w:rPr>
  </w:style>
  <w:style w:type="character" w:customStyle="1" w:styleId="SC39237591">
    <w:name w:val="SC.39.237591"/>
    <w:uiPriority w:val="99"/>
    <w:rsid w:val="00B56C52"/>
    <w:rPr>
      <w:color w:val="000000"/>
      <w:sz w:val="32"/>
    </w:rPr>
  </w:style>
  <w:style w:type="paragraph" w:customStyle="1" w:styleId="ChapterTitle">
    <w:name w:val="Chapter Title"/>
    <w:basedOn w:val="Normal"/>
    <w:link w:val="ChapterTitleChar"/>
    <w:uiPriority w:val="99"/>
    <w:rsid w:val="00B56C52"/>
    <w:pPr>
      <w:spacing w:after="240" w:line="240" w:lineRule="auto"/>
    </w:pPr>
    <w:rPr>
      <w:rFonts w:ascii="Arial" w:eastAsia="Times New Roman" w:hAnsi="Arial"/>
      <w:b/>
      <w:sz w:val="22"/>
      <w:szCs w:val="20"/>
    </w:rPr>
  </w:style>
  <w:style w:type="character" w:customStyle="1" w:styleId="ChapterTitleChar">
    <w:name w:val="Chapter Title Char"/>
    <w:basedOn w:val="DefaultParagraphFont"/>
    <w:link w:val="ChapterTitle"/>
    <w:uiPriority w:val="99"/>
    <w:locked/>
    <w:rsid w:val="00B56C52"/>
    <w:rPr>
      <w:rFonts w:ascii="Arial" w:hAnsi="Arial" w:cs="Times New Roman"/>
      <w:b/>
      <w:sz w:val="20"/>
      <w:szCs w:val="20"/>
    </w:rPr>
  </w:style>
  <w:style w:type="paragraph" w:styleId="BodyTextIndent">
    <w:name w:val="Body Text Indent"/>
    <w:basedOn w:val="Normal"/>
    <w:link w:val="BodyTextIndentChar"/>
    <w:uiPriority w:val="99"/>
    <w:rsid w:val="00B56C52"/>
    <w:pPr>
      <w:spacing w:after="120" w:line="240" w:lineRule="auto"/>
      <w:ind w:left="360"/>
    </w:pPr>
    <w:rPr>
      <w:rFonts w:eastAsia="Times New Roman"/>
      <w:szCs w:val="20"/>
    </w:rPr>
  </w:style>
  <w:style w:type="character" w:customStyle="1" w:styleId="BodyTextIndentChar">
    <w:name w:val="Body Text Indent Char"/>
    <w:basedOn w:val="DefaultParagraphFont"/>
    <w:link w:val="BodyTextIndent"/>
    <w:uiPriority w:val="99"/>
    <w:locked/>
    <w:rsid w:val="00B56C52"/>
    <w:rPr>
      <w:rFonts w:ascii="Times New Roman" w:hAnsi="Times New Roman" w:cs="Times New Roman"/>
      <w:sz w:val="20"/>
      <w:szCs w:val="20"/>
    </w:rPr>
  </w:style>
  <w:style w:type="paragraph" w:customStyle="1" w:styleId="Default">
    <w:name w:val="Default"/>
    <w:rsid w:val="00B56C52"/>
    <w:pPr>
      <w:autoSpaceDE w:val="0"/>
      <w:autoSpaceDN w:val="0"/>
      <w:adjustRightInd w:val="0"/>
    </w:pPr>
    <w:rPr>
      <w:rFonts w:ascii="Times New Roman" w:eastAsia="Times New Roman" w:hAnsi="Times New Roman"/>
      <w:color w:val="000000"/>
      <w:sz w:val="24"/>
      <w:szCs w:val="24"/>
    </w:rPr>
  </w:style>
  <w:style w:type="paragraph" w:customStyle="1" w:styleId="FMR5">
    <w:name w:val="FMR 5"/>
    <w:basedOn w:val="FMR4"/>
    <w:uiPriority w:val="99"/>
    <w:rsid w:val="00B56C52"/>
    <w:pPr>
      <w:tabs>
        <w:tab w:val="clear" w:pos="2880"/>
      </w:tabs>
      <w:ind w:left="2880"/>
    </w:pPr>
  </w:style>
  <w:style w:type="paragraph" w:customStyle="1" w:styleId="FMR6">
    <w:name w:val="FMR 6"/>
    <w:basedOn w:val="FMR5"/>
    <w:uiPriority w:val="99"/>
    <w:rsid w:val="00B56C52"/>
    <w:pPr>
      <w:ind w:left="3240"/>
    </w:pPr>
  </w:style>
  <w:style w:type="paragraph" w:customStyle="1" w:styleId="StyleFMR3Arial11pt">
    <w:name w:val="Style FMR3 + Arial 11 pt"/>
    <w:basedOn w:val="Normal"/>
    <w:link w:val="StyleFMR3Arial11ptCharChar"/>
    <w:autoRedefine/>
    <w:uiPriority w:val="99"/>
    <w:rsid w:val="00B56C52"/>
    <w:pPr>
      <w:numPr>
        <w:numId w:val="7"/>
      </w:numPr>
      <w:spacing w:after="240" w:line="240" w:lineRule="auto"/>
      <w:ind w:left="2160" w:hanging="360"/>
    </w:pPr>
    <w:rPr>
      <w:rFonts w:ascii="Arial" w:eastAsia="Times New Roman" w:hAnsi="Arial"/>
      <w:sz w:val="22"/>
      <w:szCs w:val="20"/>
    </w:rPr>
  </w:style>
  <w:style w:type="character" w:customStyle="1" w:styleId="StyleFMR3Arial11ptCharChar">
    <w:name w:val="Style FMR3 + Arial 11 pt Char Char"/>
    <w:basedOn w:val="DefaultParagraphFont"/>
    <w:link w:val="StyleFMR3Arial11pt"/>
    <w:uiPriority w:val="99"/>
    <w:locked/>
    <w:rsid w:val="00B56C52"/>
    <w:rPr>
      <w:rFonts w:ascii="Arial" w:eastAsia="Times New Roman" w:hAnsi="Arial"/>
      <w:szCs w:val="20"/>
    </w:rPr>
  </w:style>
  <w:style w:type="paragraph" w:customStyle="1" w:styleId="Hanga">
    <w:name w:val="* Hang a"/>
    <w:basedOn w:val="Normal"/>
    <w:uiPriority w:val="99"/>
    <w:rsid w:val="00B56C52"/>
    <w:pPr>
      <w:tabs>
        <w:tab w:val="decimal" w:pos="630"/>
        <w:tab w:val="left" w:pos="1080"/>
        <w:tab w:val="left" w:pos="1620"/>
      </w:tabs>
      <w:overflowPunct w:val="0"/>
      <w:autoSpaceDE w:val="0"/>
      <w:autoSpaceDN w:val="0"/>
      <w:adjustRightInd w:val="0"/>
      <w:spacing w:after="0" w:line="240" w:lineRule="auto"/>
      <w:ind w:left="1627" w:right="29" w:hanging="720"/>
      <w:textAlignment w:val="baseline"/>
    </w:pPr>
    <w:rPr>
      <w:rFonts w:ascii="Courier New" w:eastAsia="Times New Roman" w:hAnsi="Courier New"/>
      <w:szCs w:val="20"/>
    </w:rPr>
  </w:style>
  <w:style w:type="paragraph" w:customStyle="1" w:styleId="npr40">
    <w:name w:val="npr4"/>
    <w:basedOn w:val="Normal"/>
    <w:uiPriority w:val="99"/>
    <w:rsid w:val="002F45E8"/>
    <w:pPr>
      <w:spacing w:after="240" w:line="240" w:lineRule="auto"/>
    </w:pPr>
    <w:rPr>
      <w:rFonts w:eastAsia="Times New Roman"/>
      <w:szCs w:val="24"/>
    </w:rPr>
  </w:style>
  <w:style w:type="paragraph" w:customStyle="1" w:styleId="npr30">
    <w:name w:val="npr3"/>
    <w:basedOn w:val="Normal"/>
    <w:uiPriority w:val="99"/>
    <w:rsid w:val="00F22867"/>
    <w:pPr>
      <w:spacing w:after="240" w:line="240" w:lineRule="auto"/>
      <w:ind w:left="7470"/>
    </w:pPr>
    <w:rPr>
      <w:szCs w:val="24"/>
    </w:rPr>
  </w:style>
  <w:style w:type="paragraph" w:customStyle="1" w:styleId="Appendix3">
    <w:name w:val="Appendix3"/>
    <w:basedOn w:val="Appendix2"/>
    <w:uiPriority w:val="99"/>
    <w:rsid w:val="007065E2"/>
    <w:pPr>
      <w:numPr>
        <w:ilvl w:val="2"/>
      </w:numPr>
    </w:pPr>
  </w:style>
  <w:style w:type="paragraph" w:styleId="DocumentMap">
    <w:name w:val="Document Map"/>
    <w:basedOn w:val="Normal"/>
    <w:link w:val="DocumentMapChar"/>
    <w:uiPriority w:val="99"/>
    <w:semiHidden/>
    <w:rsid w:val="000529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529B1"/>
    <w:rPr>
      <w:rFonts w:ascii="Tahoma" w:hAnsi="Tahoma" w:cs="Tahoma"/>
      <w:sz w:val="16"/>
      <w:szCs w:val="16"/>
    </w:rPr>
  </w:style>
  <w:style w:type="character" w:customStyle="1" w:styleId="NPR2Char">
    <w:name w:val="NPR 2 Char"/>
    <w:basedOn w:val="DefaultParagraphFont"/>
    <w:link w:val="NPR2"/>
    <w:locked/>
    <w:rsid w:val="000E7AE1"/>
    <w:rPr>
      <w:rFonts w:ascii="Times New Roman" w:hAnsi="Times New Roman"/>
      <w:b/>
      <w:sz w:val="24"/>
      <w:szCs w:val="24"/>
    </w:rPr>
  </w:style>
  <w:style w:type="character" w:customStyle="1" w:styleId="NPR3Char">
    <w:name w:val="NPR 3 Char"/>
    <w:basedOn w:val="NPR2Char"/>
    <w:link w:val="NPR3"/>
    <w:locked/>
    <w:rsid w:val="005A3668"/>
    <w:rPr>
      <w:rFonts w:ascii="Times New Roman" w:hAnsi="Times New Roman"/>
      <w:b w:val="0"/>
      <w:sz w:val="24"/>
      <w:szCs w:val="24"/>
    </w:rPr>
  </w:style>
  <w:style w:type="character" w:customStyle="1" w:styleId="NPR4Char">
    <w:name w:val="NPR 4 Char"/>
    <w:basedOn w:val="NPR3Char"/>
    <w:link w:val="NPR4"/>
    <w:locked/>
    <w:rsid w:val="006A15EA"/>
    <w:rPr>
      <w:rFonts w:ascii="Times New Roman" w:hAnsi="Times New Roman"/>
      <w:b w:val="0"/>
      <w:sz w:val="24"/>
      <w:szCs w:val="24"/>
    </w:rPr>
  </w:style>
  <w:style w:type="table" w:styleId="TableGrid">
    <w:name w:val="Table Grid"/>
    <w:basedOn w:val="TableNormal"/>
    <w:uiPriority w:val="99"/>
    <w:locked/>
    <w:rsid w:val="00A524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locked/>
    <w:rsid w:val="004D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4D0ED3"/>
    <w:rPr>
      <w:rFonts w:ascii="Courier New" w:hAnsi="Courier New" w:cs="Courier New"/>
      <w:lang w:val="en-US" w:eastAsia="en-US" w:bidi="ar-SA"/>
    </w:rPr>
  </w:style>
  <w:style w:type="character" w:customStyle="1" w:styleId="categorylnkbig1">
    <w:name w:val="categorylnkbig1"/>
    <w:basedOn w:val="DefaultParagraphFont"/>
    <w:uiPriority w:val="99"/>
    <w:rsid w:val="00BC622D"/>
    <w:rPr>
      <w:rFonts w:ascii="Arial" w:hAnsi="Arial" w:cs="Arial"/>
      <w:b/>
      <w:bCs/>
      <w:color w:val="006699"/>
      <w:sz w:val="15"/>
      <w:szCs w:val="15"/>
    </w:rPr>
  </w:style>
  <w:style w:type="numbering" w:customStyle="1" w:styleId="Style1">
    <w:name w:val="Style1"/>
    <w:rsid w:val="00F920BF"/>
    <w:pPr>
      <w:numPr>
        <w:numId w:val="2"/>
      </w:numPr>
    </w:pPr>
  </w:style>
  <w:style w:type="numbering" w:customStyle="1" w:styleId="FMR">
    <w:name w:val="FMR"/>
    <w:rsid w:val="00F920BF"/>
    <w:pPr>
      <w:numPr>
        <w:numId w:val="4"/>
      </w:numPr>
    </w:pPr>
  </w:style>
  <w:style w:type="numbering" w:customStyle="1" w:styleId="Style2">
    <w:name w:val="Style2"/>
    <w:rsid w:val="00F920BF"/>
    <w:pPr>
      <w:numPr>
        <w:numId w:val="3"/>
      </w:numPr>
    </w:pPr>
  </w:style>
  <w:style w:type="paragraph" w:customStyle="1" w:styleId="statutory-body-1em">
    <w:name w:val="statutory-body-1em"/>
    <w:basedOn w:val="Normal"/>
    <w:rsid w:val="000B0405"/>
    <w:pPr>
      <w:spacing w:after="0" w:line="240" w:lineRule="auto"/>
      <w:ind w:left="240" w:firstLine="240"/>
    </w:pPr>
    <w:rPr>
      <w:rFonts w:eastAsia="Times New Roman"/>
      <w:szCs w:val="24"/>
    </w:rPr>
  </w:style>
  <w:style w:type="paragraph" w:customStyle="1" w:styleId="Figure">
    <w:name w:val="Figure"/>
    <w:basedOn w:val="NormalWeb"/>
    <w:qFormat/>
    <w:rsid w:val="00FE498D"/>
    <w:pPr>
      <w:jc w:val="center"/>
    </w:pPr>
    <w:rPr>
      <w:b/>
    </w:rPr>
  </w:style>
  <w:style w:type="paragraph" w:styleId="FootnoteText">
    <w:name w:val="footnote text"/>
    <w:basedOn w:val="Normal"/>
    <w:link w:val="FootnoteTextChar"/>
    <w:uiPriority w:val="99"/>
    <w:unhideWhenUsed/>
    <w:locked/>
    <w:rsid w:val="0076174D"/>
    <w:pPr>
      <w:spacing w:after="0" w:line="240" w:lineRule="auto"/>
    </w:pPr>
    <w:rPr>
      <w:sz w:val="20"/>
      <w:szCs w:val="20"/>
    </w:rPr>
  </w:style>
  <w:style w:type="character" w:customStyle="1" w:styleId="FootnoteTextChar">
    <w:name w:val="Footnote Text Char"/>
    <w:basedOn w:val="DefaultParagraphFont"/>
    <w:link w:val="FootnoteText"/>
    <w:uiPriority w:val="99"/>
    <w:rsid w:val="0076174D"/>
    <w:rPr>
      <w:rFonts w:ascii="Times New Roman" w:hAnsi="Times New Roman"/>
      <w:sz w:val="20"/>
      <w:szCs w:val="20"/>
    </w:rPr>
  </w:style>
  <w:style w:type="character" w:styleId="FootnoteReference">
    <w:name w:val="footnote reference"/>
    <w:basedOn w:val="DefaultParagraphFont"/>
    <w:uiPriority w:val="99"/>
    <w:semiHidden/>
    <w:unhideWhenUsed/>
    <w:locked/>
    <w:rsid w:val="0076174D"/>
    <w:rPr>
      <w:vertAlign w:val="superscript"/>
    </w:rPr>
  </w:style>
  <w:style w:type="character" w:customStyle="1" w:styleId="Heading5Char">
    <w:name w:val="Heading 5 Char"/>
    <w:basedOn w:val="DefaultParagraphFont"/>
    <w:link w:val="Heading5"/>
    <w:uiPriority w:val="9"/>
    <w:rsid w:val="001D30D1"/>
    <w:rPr>
      <w:rFonts w:asciiTheme="majorHAnsi" w:eastAsiaTheme="majorEastAsia" w:hAnsiTheme="majorHAnsi" w:cstheme="majorBidi"/>
      <w:color w:val="243F60" w:themeColor="accent1" w:themeShade="7F"/>
      <w:sz w:val="24"/>
    </w:rPr>
  </w:style>
  <w:style w:type="paragraph" w:customStyle="1" w:styleId="NPRList10">
    <w:name w:val="NPR List 1"/>
    <w:basedOn w:val="NormalWeb"/>
    <w:qFormat/>
    <w:rsid w:val="0054768C"/>
    <w:pPr>
      <w:spacing w:before="0" w:beforeAutospacing="0" w:after="240" w:afterAutospacing="0"/>
      <w:outlineLvl w:val="4"/>
    </w:pPr>
    <w:rPr>
      <w:color w:val="000000"/>
    </w:rPr>
  </w:style>
  <w:style w:type="paragraph" w:customStyle="1" w:styleId="Appendix20">
    <w:name w:val="Appendix 2"/>
    <w:basedOn w:val="NormalWeb"/>
    <w:qFormat/>
    <w:rsid w:val="0054768C"/>
    <w:pPr>
      <w:spacing w:before="0" w:beforeAutospacing="0" w:after="240" w:afterAutospacing="0"/>
      <w:outlineLvl w:val="1"/>
    </w:pPr>
    <w:rPr>
      <w:b/>
      <w:color w:val="000000"/>
      <w:sz w:val="28"/>
    </w:rPr>
  </w:style>
  <w:style w:type="paragraph" w:customStyle="1" w:styleId="NPRTableTitle">
    <w:name w:val="NPR Table Title"/>
    <w:basedOn w:val="Normal"/>
    <w:qFormat/>
    <w:rsid w:val="0054768C"/>
    <w:pPr>
      <w:spacing w:before="240" w:after="240" w:line="240" w:lineRule="auto"/>
      <w:jc w:val="center"/>
      <w:outlineLvl w:val="2"/>
    </w:pPr>
    <w:rPr>
      <w:rFonts w:eastAsia="Times New Roman" w:cs="Arial"/>
      <w:b/>
      <w:szCs w:val="24"/>
    </w:rPr>
  </w:style>
  <w:style w:type="paragraph" w:customStyle="1" w:styleId="NPRFigureTitle">
    <w:name w:val="NPR Figure Title"/>
    <w:basedOn w:val="NPRTableTitle"/>
    <w:qFormat/>
    <w:rsid w:val="0054768C"/>
    <w:pPr>
      <w:ind w:left="4950"/>
    </w:pPr>
  </w:style>
  <w:style w:type="paragraph" w:styleId="TOCHeading">
    <w:name w:val="TOC Heading"/>
    <w:basedOn w:val="Heading1"/>
    <w:next w:val="Normal"/>
    <w:uiPriority w:val="39"/>
    <w:unhideWhenUsed/>
    <w:qFormat/>
    <w:rsid w:val="00E8603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Quote">
    <w:name w:val="Quote"/>
    <w:basedOn w:val="Normal"/>
    <w:next w:val="Normal"/>
    <w:link w:val="QuoteChar"/>
    <w:uiPriority w:val="29"/>
    <w:qFormat/>
    <w:rsid w:val="00D527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27D5"/>
    <w:rPr>
      <w:rFonts w:ascii="Times New Roman" w:hAnsi="Times New Roman"/>
      <w:i/>
      <w:iCs/>
      <w:color w:val="404040" w:themeColor="text1" w:themeTint="BF"/>
      <w:sz w:val="24"/>
    </w:rPr>
  </w:style>
  <w:style w:type="paragraph" w:styleId="Subtitle">
    <w:name w:val="Subtitle"/>
    <w:basedOn w:val="Normal"/>
    <w:next w:val="Normal"/>
    <w:link w:val="SubtitleChar"/>
    <w:uiPriority w:val="11"/>
    <w:qFormat/>
    <w:locked/>
    <w:rsid w:val="00D527D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527D5"/>
    <w:rPr>
      <w:rFonts w:asciiTheme="minorHAnsi" w:eastAsiaTheme="minorEastAsia" w:hAnsiTheme="minorHAnsi" w:cstheme="minorBidi"/>
      <w:color w:val="5A5A5A" w:themeColor="text1" w:themeTint="A5"/>
      <w:spacing w:val="15"/>
    </w:rPr>
  </w:style>
  <w:style w:type="paragraph" w:customStyle="1" w:styleId="Style3">
    <w:name w:val="Style3"/>
    <w:basedOn w:val="NPR4"/>
    <w:next w:val="npr40"/>
    <w:qFormat/>
    <w:rsid w:val="006075DD"/>
  </w:style>
  <w:style w:type="paragraph" w:customStyle="1" w:styleId="Style4">
    <w:name w:val="Style4"/>
    <w:basedOn w:val="NormalWeb"/>
    <w:qFormat/>
    <w:rsid w:val="006A15EA"/>
  </w:style>
  <w:style w:type="paragraph" w:customStyle="1" w:styleId="NPR1111">
    <w:name w:val="NPR 1.1.1.1"/>
    <w:basedOn w:val="NormalWeb"/>
    <w:qFormat/>
    <w:rsid w:val="00D275ED"/>
  </w:style>
  <w:style w:type="paragraph" w:customStyle="1" w:styleId="NPRLista">
    <w:name w:val="NPR List a."/>
    <w:basedOn w:val="ListParagraph"/>
    <w:link w:val="NPRListaChar"/>
    <w:qFormat/>
    <w:rsid w:val="00B953CB"/>
    <w:pPr>
      <w:numPr>
        <w:numId w:val="12"/>
      </w:numPr>
      <w:tabs>
        <w:tab w:val="left" w:pos="360"/>
      </w:tabs>
      <w:spacing w:after="120" w:line="240" w:lineRule="auto"/>
      <w:ind w:left="0" w:firstLine="0"/>
      <w:contextualSpacing w:val="0"/>
    </w:pPr>
  </w:style>
  <w:style w:type="character" w:customStyle="1" w:styleId="ListParagraphChar">
    <w:name w:val="List Paragraph Char"/>
    <w:basedOn w:val="DefaultParagraphFont"/>
    <w:link w:val="ListParagraph"/>
    <w:uiPriority w:val="34"/>
    <w:rsid w:val="00B953CB"/>
    <w:rPr>
      <w:rFonts w:ascii="Times New Roman" w:hAnsi="Times New Roman"/>
      <w:sz w:val="24"/>
    </w:rPr>
  </w:style>
  <w:style w:type="character" w:customStyle="1" w:styleId="NPRListaChar">
    <w:name w:val="NPR List a. Char"/>
    <w:basedOn w:val="ListParagraphChar"/>
    <w:link w:val="NPRLista"/>
    <w:rsid w:val="00B953CB"/>
    <w:rPr>
      <w:rFonts w:ascii="Times New Roman" w:hAnsi="Times New Roman"/>
      <w:sz w:val="24"/>
    </w:rPr>
  </w:style>
  <w:style w:type="paragraph" w:customStyle="1" w:styleId="Note">
    <w:name w:val="Note"/>
    <w:basedOn w:val="Normal"/>
    <w:link w:val="NoteChar"/>
    <w:qFormat/>
    <w:rsid w:val="00595FA6"/>
    <w:pPr>
      <w:spacing w:after="160" w:line="259" w:lineRule="auto"/>
      <w:ind w:left="360" w:right="360"/>
    </w:pPr>
    <w:rPr>
      <w:i/>
      <w:szCs w:val="24"/>
    </w:rPr>
  </w:style>
  <w:style w:type="character" w:customStyle="1" w:styleId="NoteChar">
    <w:name w:val="Note Char"/>
    <w:basedOn w:val="DefaultParagraphFont"/>
    <w:link w:val="Note"/>
    <w:rsid w:val="00595FA6"/>
    <w:rPr>
      <w:rFonts w:ascii="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908">
      <w:bodyDiv w:val="1"/>
      <w:marLeft w:val="0"/>
      <w:marRight w:val="0"/>
      <w:marTop w:val="0"/>
      <w:marBottom w:val="0"/>
      <w:divBdr>
        <w:top w:val="none" w:sz="0" w:space="0" w:color="auto"/>
        <w:left w:val="none" w:sz="0" w:space="0" w:color="auto"/>
        <w:bottom w:val="none" w:sz="0" w:space="0" w:color="auto"/>
        <w:right w:val="none" w:sz="0" w:space="0" w:color="auto"/>
      </w:divBdr>
    </w:div>
    <w:div w:id="29380615">
      <w:marLeft w:val="0"/>
      <w:marRight w:val="0"/>
      <w:marTop w:val="0"/>
      <w:marBottom w:val="0"/>
      <w:divBdr>
        <w:top w:val="none" w:sz="0" w:space="0" w:color="auto"/>
        <w:left w:val="none" w:sz="0" w:space="0" w:color="auto"/>
        <w:bottom w:val="none" w:sz="0" w:space="0" w:color="auto"/>
        <w:right w:val="none" w:sz="0" w:space="0" w:color="auto"/>
      </w:divBdr>
    </w:div>
    <w:div w:id="29380617">
      <w:marLeft w:val="0"/>
      <w:marRight w:val="0"/>
      <w:marTop w:val="0"/>
      <w:marBottom w:val="0"/>
      <w:divBdr>
        <w:top w:val="none" w:sz="0" w:space="0" w:color="auto"/>
        <w:left w:val="none" w:sz="0" w:space="0" w:color="auto"/>
        <w:bottom w:val="none" w:sz="0" w:space="0" w:color="auto"/>
        <w:right w:val="none" w:sz="0" w:space="0" w:color="auto"/>
      </w:divBdr>
      <w:divsChild>
        <w:div w:id="29380623">
          <w:marLeft w:val="0"/>
          <w:marRight w:val="0"/>
          <w:marTop w:val="0"/>
          <w:marBottom w:val="0"/>
          <w:divBdr>
            <w:top w:val="none" w:sz="0" w:space="0" w:color="auto"/>
            <w:left w:val="none" w:sz="0" w:space="0" w:color="auto"/>
            <w:bottom w:val="none" w:sz="0" w:space="0" w:color="auto"/>
            <w:right w:val="none" w:sz="0" w:space="0" w:color="auto"/>
          </w:divBdr>
          <w:divsChild>
            <w:div w:id="29380620">
              <w:marLeft w:val="0"/>
              <w:marRight w:val="0"/>
              <w:marTop w:val="0"/>
              <w:marBottom w:val="0"/>
              <w:divBdr>
                <w:top w:val="none" w:sz="0" w:space="0" w:color="auto"/>
                <w:left w:val="none" w:sz="0" w:space="0" w:color="auto"/>
                <w:bottom w:val="none" w:sz="0" w:space="0" w:color="auto"/>
                <w:right w:val="none" w:sz="0" w:space="0" w:color="auto"/>
              </w:divBdr>
              <w:divsChild>
                <w:div w:id="29380616">
                  <w:marLeft w:val="0"/>
                  <w:marRight w:val="0"/>
                  <w:marTop w:val="0"/>
                  <w:marBottom w:val="0"/>
                  <w:divBdr>
                    <w:top w:val="none" w:sz="0" w:space="0" w:color="auto"/>
                    <w:left w:val="none" w:sz="0" w:space="0" w:color="auto"/>
                    <w:bottom w:val="none" w:sz="0" w:space="0" w:color="auto"/>
                    <w:right w:val="none" w:sz="0" w:space="0" w:color="auto"/>
                  </w:divBdr>
                  <w:divsChild>
                    <w:div w:id="29380674">
                      <w:marLeft w:val="0"/>
                      <w:marRight w:val="0"/>
                      <w:marTop w:val="0"/>
                      <w:marBottom w:val="0"/>
                      <w:divBdr>
                        <w:top w:val="none" w:sz="0" w:space="0" w:color="auto"/>
                        <w:left w:val="none" w:sz="0" w:space="0" w:color="auto"/>
                        <w:bottom w:val="none" w:sz="0" w:space="0" w:color="auto"/>
                        <w:right w:val="none" w:sz="0" w:space="0" w:color="auto"/>
                      </w:divBdr>
                      <w:divsChild>
                        <w:div w:id="29380619">
                          <w:marLeft w:val="0"/>
                          <w:marRight w:val="0"/>
                          <w:marTop w:val="0"/>
                          <w:marBottom w:val="0"/>
                          <w:divBdr>
                            <w:top w:val="none" w:sz="0" w:space="0" w:color="auto"/>
                            <w:left w:val="none" w:sz="0" w:space="0" w:color="auto"/>
                            <w:bottom w:val="none" w:sz="0" w:space="0" w:color="auto"/>
                            <w:right w:val="none" w:sz="0" w:space="0" w:color="auto"/>
                          </w:divBdr>
                          <w:divsChild>
                            <w:div w:id="29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80621">
      <w:marLeft w:val="0"/>
      <w:marRight w:val="0"/>
      <w:marTop w:val="0"/>
      <w:marBottom w:val="0"/>
      <w:divBdr>
        <w:top w:val="none" w:sz="0" w:space="0" w:color="auto"/>
        <w:left w:val="none" w:sz="0" w:space="0" w:color="auto"/>
        <w:bottom w:val="none" w:sz="0" w:space="0" w:color="auto"/>
        <w:right w:val="none" w:sz="0" w:space="0" w:color="auto"/>
      </w:divBdr>
    </w:div>
    <w:div w:id="29380622">
      <w:marLeft w:val="0"/>
      <w:marRight w:val="0"/>
      <w:marTop w:val="0"/>
      <w:marBottom w:val="0"/>
      <w:divBdr>
        <w:top w:val="none" w:sz="0" w:space="0" w:color="auto"/>
        <w:left w:val="none" w:sz="0" w:space="0" w:color="auto"/>
        <w:bottom w:val="none" w:sz="0" w:space="0" w:color="auto"/>
        <w:right w:val="none" w:sz="0" w:space="0" w:color="auto"/>
      </w:divBdr>
    </w:div>
    <w:div w:id="29380624">
      <w:marLeft w:val="0"/>
      <w:marRight w:val="0"/>
      <w:marTop w:val="0"/>
      <w:marBottom w:val="0"/>
      <w:divBdr>
        <w:top w:val="none" w:sz="0" w:space="0" w:color="auto"/>
        <w:left w:val="none" w:sz="0" w:space="0" w:color="auto"/>
        <w:bottom w:val="none" w:sz="0" w:space="0" w:color="auto"/>
        <w:right w:val="none" w:sz="0" w:space="0" w:color="auto"/>
      </w:divBdr>
    </w:div>
    <w:div w:id="29380625">
      <w:marLeft w:val="0"/>
      <w:marRight w:val="0"/>
      <w:marTop w:val="0"/>
      <w:marBottom w:val="0"/>
      <w:divBdr>
        <w:top w:val="none" w:sz="0" w:space="0" w:color="auto"/>
        <w:left w:val="none" w:sz="0" w:space="0" w:color="auto"/>
        <w:bottom w:val="none" w:sz="0" w:space="0" w:color="auto"/>
        <w:right w:val="none" w:sz="0" w:space="0" w:color="auto"/>
      </w:divBdr>
    </w:div>
    <w:div w:id="29380626">
      <w:marLeft w:val="0"/>
      <w:marRight w:val="0"/>
      <w:marTop w:val="0"/>
      <w:marBottom w:val="0"/>
      <w:divBdr>
        <w:top w:val="none" w:sz="0" w:space="0" w:color="auto"/>
        <w:left w:val="none" w:sz="0" w:space="0" w:color="auto"/>
        <w:bottom w:val="none" w:sz="0" w:space="0" w:color="auto"/>
        <w:right w:val="none" w:sz="0" w:space="0" w:color="auto"/>
      </w:divBdr>
    </w:div>
    <w:div w:id="29380627">
      <w:marLeft w:val="0"/>
      <w:marRight w:val="0"/>
      <w:marTop w:val="0"/>
      <w:marBottom w:val="0"/>
      <w:divBdr>
        <w:top w:val="none" w:sz="0" w:space="0" w:color="auto"/>
        <w:left w:val="none" w:sz="0" w:space="0" w:color="auto"/>
        <w:bottom w:val="none" w:sz="0" w:space="0" w:color="auto"/>
        <w:right w:val="none" w:sz="0" w:space="0" w:color="auto"/>
      </w:divBdr>
    </w:div>
    <w:div w:id="29380628">
      <w:marLeft w:val="240"/>
      <w:marRight w:val="0"/>
      <w:marTop w:val="48"/>
      <w:marBottom w:val="0"/>
      <w:divBdr>
        <w:top w:val="none" w:sz="0" w:space="0" w:color="auto"/>
        <w:left w:val="none" w:sz="0" w:space="0" w:color="auto"/>
        <w:bottom w:val="none" w:sz="0" w:space="0" w:color="auto"/>
        <w:right w:val="none" w:sz="0" w:space="0" w:color="auto"/>
      </w:divBdr>
    </w:div>
    <w:div w:id="29380629">
      <w:marLeft w:val="0"/>
      <w:marRight w:val="0"/>
      <w:marTop w:val="0"/>
      <w:marBottom w:val="0"/>
      <w:divBdr>
        <w:top w:val="none" w:sz="0" w:space="0" w:color="auto"/>
        <w:left w:val="none" w:sz="0" w:space="0" w:color="auto"/>
        <w:bottom w:val="none" w:sz="0" w:space="0" w:color="auto"/>
        <w:right w:val="none" w:sz="0" w:space="0" w:color="auto"/>
      </w:divBdr>
    </w:div>
    <w:div w:id="29380630">
      <w:marLeft w:val="0"/>
      <w:marRight w:val="0"/>
      <w:marTop w:val="0"/>
      <w:marBottom w:val="0"/>
      <w:divBdr>
        <w:top w:val="none" w:sz="0" w:space="0" w:color="auto"/>
        <w:left w:val="none" w:sz="0" w:space="0" w:color="auto"/>
        <w:bottom w:val="none" w:sz="0" w:space="0" w:color="auto"/>
        <w:right w:val="none" w:sz="0" w:space="0" w:color="auto"/>
      </w:divBdr>
    </w:div>
    <w:div w:id="29380631">
      <w:marLeft w:val="0"/>
      <w:marRight w:val="0"/>
      <w:marTop w:val="0"/>
      <w:marBottom w:val="0"/>
      <w:divBdr>
        <w:top w:val="none" w:sz="0" w:space="0" w:color="auto"/>
        <w:left w:val="none" w:sz="0" w:space="0" w:color="auto"/>
        <w:bottom w:val="none" w:sz="0" w:space="0" w:color="auto"/>
        <w:right w:val="none" w:sz="0" w:space="0" w:color="auto"/>
      </w:divBdr>
    </w:div>
    <w:div w:id="29380632">
      <w:marLeft w:val="0"/>
      <w:marRight w:val="0"/>
      <w:marTop w:val="0"/>
      <w:marBottom w:val="0"/>
      <w:divBdr>
        <w:top w:val="none" w:sz="0" w:space="0" w:color="auto"/>
        <w:left w:val="none" w:sz="0" w:space="0" w:color="auto"/>
        <w:bottom w:val="none" w:sz="0" w:space="0" w:color="auto"/>
        <w:right w:val="none" w:sz="0" w:space="0" w:color="auto"/>
      </w:divBdr>
      <w:divsChild>
        <w:div w:id="29380667">
          <w:marLeft w:val="1166"/>
          <w:marRight w:val="0"/>
          <w:marTop w:val="96"/>
          <w:marBottom w:val="0"/>
          <w:divBdr>
            <w:top w:val="none" w:sz="0" w:space="0" w:color="auto"/>
            <w:left w:val="none" w:sz="0" w:space="0" w:color="auto"/>
            <w:bottom w:val="none" w:sz="0" w:space="0" w:color="auto"/>
            <w:right w:val="none" w:sz="0" w:space="0" w:color="auto"/>
          </w:divBdr>
        </w:div>
      </w:divsChild>
    </w:div>
    <w:div w:id="29380633">
      <w:marLeft w:val="0"/>
      <w:marRight w:val="0"/>
      <w:marTop w:val="0"/>
      <w:marBottom w:val="0"/>
      <w:divBdr>
        <w:top w:val="none" w:sz="0" w:space="0" w:color="auto"/>
        <w:left w:val="none" w:sz="0" w:space="0" w:color="auto"/>
        <w:bottom w:val="none" w:sz="0" w:space="0" w:color="auto"/>
        <w:right w:val="none" w:sz="0" w:space="0" w:color="auto"/>
      </w:divBdr>
    </w:div>
    <w:div w:id="29380634">
      <w:marLeft w:val="240"/>
      <w:marRight w:val="0"/>
      <w:marTop w:val="48"/>
      <w:marBottom w:val="0"/>
      <w:divBdr>
        <w:top w:val="none" w:sz="0" w:space="0" w:color="auto"/>
        <w:left w:val="none" w:sz="0" w:space="0" w:color="auto"/>
        <w:bottom w:val="none" w:sz="0" w:space="0" w:color="auto"/>
        <w:right w:val="none" w:sz="0" w:space="0" w:color="auto"/>
      </w:divBdr>
    </w:div>
    <w:div w:id="29380635">
      <w:marLeft w:val="0"/>
      <w:marRight w:val="0"/>
      <w:marTop w:val="0"/>
      <w:marBottom w:val="0"/>
      <w:divBdr>
        <w:top w:val="none" w:sz="0" w:space="0" w:color="auto"/>
        <w:left w:val="none" w:sz="0" w:space="0" w:color="auto"/>
        <w:bottom w:val="none" w:sz="0" w:space="0" w:color="auto"/>
        <w:right w:val="none" w:sz="0" w:space="0" w:color="auto"/>
      </w:divBdr>
    </w:div>
    <w:div w:id="29380636">
      <w:marLeft w:val="0"/>
      <w:marRight w:val="0"/>
      <w:marTop w:val="0"/>
      <w:marBottom w:val="0"/>
      <w:divBdr>
        <w:top w:val="none" w:sz="0" w:space="0" w:color="auto"/>
        <w:left w:val="none" w:sz="0" w:space="0" w:color="auto"/>
        <w:bottom w:val="none" w:sz="0" w:space="0" w:color="auto"/>
        <w:right w:val="none" w:sz="0" w:space="0" w:color="auto"/>
      </w:divBdr>
    </w:div>
    <w:div w:id="29380637">
      <w:marLeft w:val="0"/>
      <w:marRight w:val="0"/>
      <w:marTop w:val="0"/>
      <w:marBottom w:val="0"/>
      <w:divBdr>
        <w:top w:val="none" w:sz="0" w:space="0" w:color="auto"/>
        <w:left w:val="none" w:sz="0" w:space="0" w:color="auto"/>
        <w:bottom w:val="none" w:sz="0" w:space="0" w:color="auto"/>
        <w:right w:val="none" w:sz="0" w:space="0" w:color="auto"/>
      </w:divBdr>
    </w:div>
    <w:div w:id="29380638">
      <w:marLeft w:val="0"/>
      <w:marRight w:val="0"/>
      <w:marTop w:val="0"/>
      <w:marBottom w:val="0"/>
      <w:divBdr>
        <w:top w:val="none" w:sz="0" w:space="0" w:color="auto"/>
        <w:left w:val="none" w:sz="0" w:space="0" w:color="auto"/>
        <w:bottom w:val="none" w:sz="0" w:space="0" w:color="auto"/>
        <w:right w:val="none" w:sz="0" w:space="0" w:color="auto"/>
      </w:divBdr>
    </w:div>
    <w:div w:id="29380639">
      <w:marLeft w:val="0"/>
      <w:marRight w:val="0"/>
      <w:marTop w:val="0"/>
      <w:marBottom w:val="0"/>
      <w:divBdr>
        <w:top w:val="none" w:sz="0" w:space="0" w:color="auto"/>
        <w:left w:val="none" w:sz="0" w:space="0" w:color="auto"/>
        <w:bottom w:val="none" w:sz="0" w:space="0" w:color="auto"/>
        <w:right w:val="none" w:sz="0" w:space="0" w:color="auto"/>
      </w:divBdr>
    </w:div>
    <w:div w:id="29380640">
      <w:marLeft w:val="0"/>
      <w:marRight w:val="0"/>
      <w:marTop w:val="0"/>
      <w:marBottom w:val="0"/>
      <w:divBdr>
        <w:top w:val="none" w:sz="0" w:space="0" w:color="auto"/>
        <w:left w:val="none" w:sz="0" w:space="0" w:color="auto"/>
        <w:bottom w:val="none" w:sz="0" w:space="0" w:color="auto"/>
        <w:right w:val="none" w:sz="0" w:space="0" w:color="auto"/>
      </w:divBdr>
    </w:div>
    <w:div w:id="29380641">
      <w:marLeft w:val="0"/>
      <w:marRight w:val="0"/>
      <w:marTop w:val="0"/>
      <w:marBottom w:val="0"/>
      <w:divBdr>
        <w:top w:val="none" w:sz="0" w:space="0" w:color="auto"/>
        <w:left w:val="none" w:sz="0" w:space="0" w:color="auto"/>
        <w:bottom w:val="none" w:sz="0" w:space="0" w:color="auto"/>
        <w:right w:val="none" w:sz="0" w:space="0" w:color="auto"/>
      </w:divBdr>
    </w:div>
    <w:div w:id="29380643">
      <w:marLeft w:val="240"/>
      <w:marRight w:val="0"/>
      <w:marTop w:val="48"/>
      <w:marBottom w:val="0"/>
      <w:divBdr>
        <w:top w:val="none" w:sz="0" w:space="0" w:color="auto"/>
        <w:left w:val="none" w:sz="0" w:space="0" w:color="auto"/>
        <w:bottom w:val="none" w:sz="0" w:space="0" w:color="auto"/>
        <w:right w:val="none" w:sz="0" w:space="0" w:color="auto"/>
      </w:divBdr>
    </w:div>
    <w:div w:id="29380644">
      <w:marLeft w:val="0"/>
      <w:marRight w:val="0"/>
      <w:marTop w:val="0"/>
      <w:marBottom w:val="0"/>
      <w:divBdr>
        <w:top w:val="none" w:sz="0" w:space="0" w:color="auto"/>
        <w:left w:val="none" w:sz="0" w:space="0" w:color="auto"/>
        <w:bottom w:val="none" w:sz="0" w:space="0" w:color="auto"/>
        <w:right w:val="none" w:sz="0" w:space="0" w:color="auto"/>
      </w:divBdr>
    </w:div>
    <w:div w:id="29380645">
      <w:marLeft w:val="0"/>
      <w:marRight w:val="0"/>
      <w:marTop w:val="0"/>
      <w:marBottom w:val="0"/>
      <w:divBdr>
        <w:top w:val="none" w:sz="0" w:space="0" w:color="auto"/>
        <w:left w:val="none" w:sz="0" w:space="0" w:color="auto"/>
        <w:bottom w:val="none" w:sz="0" w:space="0" w:color="auto"/>
        <w:right w:val="none" w:sz="0" w:space="0" w:color="auto"/>
      </w:divBdr>
    </w:div>
    <w:div w:id="29380646">
      <w:marLeft w:val="0"/>
      <w:marRight w:val="0"/>
      <w:marTop w:val="0"/>
      <w:marBottom w:val="0"/>
      <w:divBdr>
        <w:top w:val="none" w:sz="0" w:space="0" w:color="auto"/>
        <w:left w:val="none" w:sz="0" w:space="0" w:color="auto"/>
        <w:bottom w:val="none" w:sz="0" w:space="0" w:color="auto"/>
        <w:right w:val="none" w:sz="0" w:space="0" w:color="auto"/>
      </w:divBdr>
    </w:div>
    <w:div w:id="29380647">
      <w:marLeft w:val="0"/>
      <w:marRight w:val="0"/>
      <w:marTop w:val="0"/>
      <w:marBottom w:val="0"/>
      <w:divBdr>
        <w:top w:val="none" w:sz="0" w:space="0" w:color="auto"/>
        <w:left w:val="none" w:sz="0" w:space="0" w:color="auto"/>
        <w:bottom w:val="none" w:sz="0" w:space="0" w:color="auto"/>
        <w:right w:val="none" w:sz="0" w:space="0" w:color="auto"/>
      </w:divBdr>
    </w:div>
    <w:div w:id="29380648">
      <w:marLeft w:val="0"/>
      <w:marRight w:val="0"/>
      <w:marTop w:val="0"/>
      <w:marBottom w:val="0"/>
      <w:divBdr>
        <w:top w:val="none" w:sz="0" w:space="0" w:color="auto"/>
        <w:left w:val="none" w:sz="0" w:space="0" w:color="auto"/>
        <w:bottom w:val="none" w:sz="0" w:space="0" w:color="auto"/>
        <w:right w:val="none" w:sz="0" w:space="0" w:color="auto"/>
      </w:divBdr>
    </w:div>
    <w:div w:id="29380650">
      <w:marLeft w:val="0"/>
      <w:marRight w:val="0"/>
      <w:marTop w:val="0"/>
      <w:marBottom w:val="0"/>
      <w:divBdr>
        <w:top w:val="none" w:sz="0" w:space="0" w:color="auto"/>
        <w:left w:val="none" w:sz="0" w:space="0" w:color="auto"/>
        <w:bottom w:val="none" w:sz="0" w:space="0" w:color="auto"/>
        <w:right w:val="none" w:sz="0" w:space="0" w:color="auto"/>
      </w:divBdr>
    </w:div>
    <w:div w:id="29380651">
      <w:marLeft w:val="0"/>
      <w:marRight w:val="0"/>
      <w:marTop w:val="0"/>
      <w:marBottom w:val="0"/>
      <w:divBdr>
        <w:top w:val="none" w:sz="0" w:space="0" w:color="auto"/>
        <w:left w:val="none" w:sz="0" w:space="0" w:color="auto"/>
        <w:bottom w:val="none" w:sz="0" w:space="0" w:color="auto"/>
        <w:right w:val="none" w:sz="0" w:space="0" w:color="auto"/>
      </w:divBdr>
    </w:div>
    <w:div w:id="29380653">
      <w:marLeft w:val="0"/>
      <w:marRight w:val="0"/>
      <w:marTop w:val="0"/>
      <w:marBottom w:val="0"/>
      <w:divBdr>
        <w:top w:val="none" w:sz="0" w:space="0" w:color="auto"/>
        <w:left w:val="none" w:sz="0" w:space="0" w:color="auto"/>
        <w:bottom w:val="none" w:sz="0" w:space="0" w:color="auto"/>
        <w:right w:val="none" w:sz="0" w:space="0" w:color="auto"/>
      </w:divBdr>
    </w:div>
    <w:div w:id="29380654">
      <w:marLeft w:val="0"/>
      <w:marRight w:val="0"/>
      <w:marTop w:val="0"/>
      <w:marBottom w:val="0"/>
      <w:divBdr>
        <w:top w:val="none" w:sz="0" w:space="0" w:color="auto"/>
        <w:left w:val="none" w:sz="0" w:space="0" w:color="auto"/>
        <w:bottom w:val="none" w:sz="0" w:space="0" w:color="auto"/>
        <w:right w:val="none" w:sz="0" w:space="0" w:color="auto"/>
      </w:divBdr>
    </w:div>
    <w:div w:id="29380655">
      <w:marLeft w:val="0"/>
      <w:marRight w:val="0"/>
      <w:marTop w:val="0"/>
      <w:marBottom w:val="0"/>
      <w:divBdr>
        <w:top w:val="none" w:sz="0" w:space="0" w:color="auto"/>
        <w:left w:val="none" w:sz="0" w:space="0" w:color="auto"/>
        <w:bottom w:val="none" w:sz="0" w:space="0" w:color="auto"/>
        <w:right w:val="none" w:sz="0" w:space="0" w:color="auto"/>
      </w:divBdr>
    </w:div>
    <w:div w:id="29380656">
      <w:marLeft w:val="0"/>
      <w:marRight w:val="0"/>
      <w:marTop w:val="0"/>
      <w:marBottom w:val="0"/>
      <w:divBdr>
        <w:top w:val="none" w:sz="0" w:space="0" w:color="auto"/>
        <w:left w:val="none" w:sz="0" w:space="0" w:color="auto"/>
        <w:bottom w:val="none" w:sz="0" w:space="0" w:color="auto"/>
        <w:right w:val="none" w:sz="0" w:space="0" w:color="auto"/>
      </w:divBdr>
    </w:div>
    <w:div w:id="29380657">
      <w:marLeft w:val="0"/>
      <w:marRight w:val="0"/>
      <w:marTop w:val="0"/>
      <w:marBottom w:val="0"/>
      <w:divBdr>
        <w:top w:val="none" w:sz="0" w:space="0" w:color="auto"/>
        <w:left w:val="none" w:sz="0" w:space="0" w:color="auto"/>
        <w:bottom w:val="none" w:sz="0" w:space="0" w:color="auto"/>
        <w:right w:val="none" w:sz="0" w:space="0" w:color="auto"/>
      </w:divBdr>
    </w:div>
    <w:div w:id="29380658">
      <w:marLeft w:val="240"/>
      <w:marRight w:val="0"/>
      <w:marTop w:val="48"/>
      <w:marBottom w:val="0"/>
      <w:divBdr>
        <w:top w:val="none" w:sz="0" w:space="0" w:color="auto"/>
        <w:left w:val="none" w:sz="0" w:space="0" w:color="auto"/>
        <w:bottom w:val="none" w:sz="0" w:space="0" w:color="auto"/>
        <w:right w:val="none" w:sz="0" w:space="0" w:color="auto"/>
      </w:divBdr>
    </w:div>
    <w:div w:id="29380659">
      <w:marLeft w:val="0"/>
      <w:marRight w:val="0"/>
      <w:marTop w:val="0"/>
      <w:marBottom w:val="0"/>
      <w:divBdr>
        <w:top w:val="none" w:sz="0" w:space="0" w:color="auto"/>
        <w:left w:val="none" w:sz="0" w:space="0" w:color="auto"/>
        <w:bottom w:val="none" w:sz="0" w:space="0" w:color="auto"/>
        <w:right w:val="none" w:sz="0" w:space="0" w:color="auto"/>
      </w:divBdr>
    </w:div>
    <w:div w:id="29380661">
      <w:marLeft w:val="0"/>
      <w:marRight w:val="0"/>
      <w:marTop w:val="0"/>
      <w:marBottom w:val="0"/>
      <w:divBdr>
        <w:top w:val="none" w:sz="0" w:space="0" w:color="auto"/>
        <w:left w:val="none" w:sz="0" w:space="0" w:color="auto"/>
        <w:bottom w:val="none" w:sz="0" w:space="0" w:color="auto"/>
        <w:right w:val="none" w:sz="0" w:space="0" w:color="auto"/>
      </w:divBdr>
    </w:div>
    <w:div w:id="29380663">
      <w:marLeft w:val="0"/>
      <w:marRight w:val="0"/>
      <w:marTop w:val="0"/>
      <w:marBottom w:val="0"/>
      <w:divBdr>
        <w:top w:val="none" w:sz="0" w:space="0" w:color="auto"/>
        <w:left w:val="none" w:sz="0" w:space="0" w:color="auto"/>
        <w:bottom w:val="none" w:sz="0" w:space="0" w:color="auto"/>
        <w:right w:val="none" w:sz="0" w:space="0" w:color="auto"/>
      </w:divBdr>
      <w:divsChild>
        <w:div w:id="29380649">
          <w:marLeft w:val="0"/>
          <w:marRight w:val="0"/>
          <w:marTop w:val="0"/>
          <w:marBottom w:val="0"/>
          <w:divBdr>
            <w:top w:val="none" w:sz="0" w:space="0" w:color="auto"/>
            <w:left w:val="none" w:sz="0" w:space="0" w:color="auto"/>
            <w:bottom w:val="none" w:sz="0" w:space="0" w:color="auto"/>
            <w:right w:val="none" w:sz="0" w:space="0" w:color="auto"/>
          </w:divBdr>
          <w:divsChild>
            <w:div w:id="29380666">
              <w:marLeft w:val="0"/>
              <w:marRight w:val="0"/>
              <w:marTop w:val="0"/>
              <w:marBottom w:val="0"/>
              <w:divBdr>
                <w:top w:val="none" w:sz="0" w:space="0" w:color="auto"/>
                <w:left w:val="none" w:sz="0" w:space="0" w:color="auto"/>
                <w:bottom w:val="none" w:sz="0" w:space="0" w:color="auto"/>
                <w:right w:val="none" w:sz="0" w:space="0" w:color="auto"/>
              </w:divBdr>
              <w:divsChild>
                <w:div w:id="29380642">
                  <w:marLeft w:val="0"/>
                  <w:marRight w:val="0"/>
                  <w:marTop w:val="0"/>
                  <w:marBottom w:val="0"/>
                  <w:divBdr>
                    <w:top w:val="none" w:sz="0" w:space="0" w:color="auto"/>
                    <w:left w:val="none" w:sz="0" w:space="0" w:color="auto"/>
                    <w:bottom w:val="none" w:sz="0" w:space="0" w:color="auto"/>
                    <w:right w:val="none" w:sz="0" w:space="0" w:color="auto"/>
                  </w:divBdr>
                </w:div>
                <w:div w:id="29380652">
                  <w:marLeft w:val="0"/>
                  <w:marRight w:val="0"/>
                  <w:marTop w:val="0"/>
                  <w:marBottom w:val="0"/>
                  <w:divBdr>
                    <w:top w:val="none" w:sz="0" w:space="0" w:color="auto"/>
                    <w:left w:val="none" w:sz="0" w:space="0" w:color="auto"/>
                    <w:bottom w:val="none" w:sz="0" w:space="0" w:color="auto"/>
                    <w:right w:val="none" w:sz="0" w:space="0" w:color="auto"/>
                  </w:divBdr>
                </w:div>
                <w:div w:id="29380660">
                  <w:marLeft w:val="0"/>
                  <w:marRight w:val="0"/>
                  <w:marTop w:val="0"/>
                  <w:marBottom w:val="0"/>
                  <w:divBdr>
                    <w:top w:val="none" w:sz="0" w:space="0" w:color="auto"/>
                    <w:left w:val="none" w:sz="0" w:space="0" w:color="auto"/>
                    <w:bottom w:val="none" w:sz="0" w:space="0" w:color="auto"/>
                    <w:right w:val="none" w:sz="0" w:space="0" w:color="auto"/>
                  </w:divBdr>
                </w:div>
                <w:div w:id="29380671">
                  <w:marLeft w:val="0"/>
                  <w:marRight w:val="0"/>
                  <w:marTop w:val="0"/>
                  <w:marBottom w:val="0"/>
                  <w:divBdr>
                    <w:top w:val="none" w:sz="0" w:space="0" w:color="auto"/>
                    <w:left w:val="none" w:sz="0" w:space="0" w:color="auto"/>
                    <w:bottom w:val="none" w:sz="0" w:space="0" w:color="auto"/>
                    <w:right w:val="none" w:sz="0" w:space="0" w:color="auto"/>
                  </w:divBdr>
                </w:div>
                <w:div w:id="29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664">
      <w:marLeft w:val="0"/>
      <w:marRight w:val="0"/>
      <w:marTop w:val="0"/>
      <w:marBottom w:val="0"/>
      <w:divBdr>
        <w:top w:val="none" w:sz="0" w:space="0" w:color="auto"/>
        <w:left w:val="none" w:sz="0" w:space="0" w:color="auto"/>
        <w:bottom w:val="none" w:sz="0" w:space="0" w:color="auto"/>
        <w:right w:val="none" w:sz="0" w:space="0" w:color="auto"/>
      </w:divBdr>
    </w:div>
    <w:div w:id="29380665">
      <w:marLeft w:val="240"/>
      <w:marRight w:val="0"/>
      <w:marTop w:val="48"/>
      <w:marBottom w:val="0"/>
      <w:divBdr>
        <w:top w:val="none" w:sz="0" w:space="0" w:color="auto"/>
        <w:left w:val="none" w:sz="0" w:space="0" w:color="auto"/>
        <w:bottom w:val="none" w:sz="0" w:space="0" w:color="auto"/>
        <w:right w:val="none" w:sz="0" w:space="0" w:color="auto"/>
      </w:divBdr>
    </w:div>
    <w:div w:id="29380668">
      <w:marLeft w:val="0"/>
      <w:marRight w:val="0"/>
      <w:marTop w:val="0"/>
      <w:marBottom w:val="0"/>
      <w:divBdr>
        <w:top w:val="none" w:sz="0" w:space="0" w:color="auto"/>
        <w:left w:val="none" w:sz="0" w:space="0" w:color="auto"/>
        <w:bottom w:val="none" w:sz="0" w:space="0" w:color="auto"/>
        <w:right w:val="none" w:sz="0" w:space="0" w:color="auto"/>
      </w:divBdr>
    </w:div>
    <w:div w:id="29380669">
      <w:marLeft w:val="0"/>
      <w:marRight w:val="0"/>
      <w:marTop w:val="0"/>
      <w:marBottom w:val="0"/>
      <w:divBdr>
        <w:top w:val="none" w:sz="0" w:space="0" w:color="auto"/>
        <w:left w:val="none" w:sz="0" w:space="0" w:color="auto"/>
        <w:bottom w:val="none" w:sz="0" w:space="0" w:color="auto"/>
        <w:right w:val="none" w:sz="0" w:space="0" w:color="auto"/>
      </w:divBdr>
      <w:divsChild>
        <w:div w:id="29380662">
          <w:marLeft w:val="0"/>
          <w:marRight w:val="0"/>
          <w:marTop w:val="0"/>
          <w:marBottom w:val="0"/>
          <w:divBdr>
            <w:top w:val="none" w:sz="0" w:space="0" w:color="auto"/>
            <w:left w:val="none" w:sz="0" w:space="0" w:color="auto"/>
            <w:bottom w:val="none" w:sz="0" w:space="0" w:color="auto"/>
            <w:right w:val="none" w:sz="0" w:space="0" w:color="auto"/>
          </w:divBdr>
        </w:div>
      </w:divsChild>
    </w:div>
    <w:div w:id="29380670">
      <w:marLeft w:val="0"/>
      <w:marRight w:val="0"/>
      <w:marTop w:val="0"/>
      <w:marBottom w:val="0"/>
      <w:divBdr>
        <w:top w:val="none" w:sz="0" w:space="0" w:color="auto"/>
        <w:left w:val="none" w:sz="0" w:space="0" w:color="auto"/>
        <w:bottom w:val="none" w:sz="0" w:space="0" w:color="auto"/>
        <w:right w:val="none" w:sz="0" w:space="0" w:color="auto"/>
      </w:divBdr>
    </w:div>
    <w:div w:id="29380672">
      <w:marLeft w:val="0"/>
      <w:marRight w:val="0"/>
      <w:marTop w:val="0"/>
      <w:marBottom w:val="0"/>
      <w:divBdr>
        <w:top w:val="none" w:sz="0" w:space="0" w:color="auto"/>
        <w:left w:val="none" w:sz="0" w:space="0" w:color="auto"/>
        <w:bottom w:val="none" w:sz="0" w:space="0" w:color="auto"/>
        <w:right w:val="none" w:sz="0" w:space="0" w:color="auto"/>
      </w:divBdr>
    </w:div>
    <w:div w:id="29380675">
      <w:marLeft w:val="0"/>
      <w:marRight w:val="0"/>
      <w:marTop w:val="0"/>
      <w:marBottom w:val="0"/>
      <w:divBdr>
        <w:top w:val="none" w:sz="0" w:space="0" w:color="auto"/>
        <w:left w:val="none" w:sz="0" w:space="0" w:color="auto"/>
        <w:bottom w:val="none" w:sz="0" w:space="0" w:color="auto"/>
        <w:right w:val="none" w:sz="0" w:space="0" w:color="auto"/>
      </w:divBdr>
    </w:div>
    <w:div w:id="29380676">
      <w:marLeft w:val="0"/>
      <w:marRight w:val="0"/>
      <w:marTop w:val="0"/>
      <w:marBottom w:val="0"/>
      <w:divBdr>
        <w:top w:val="none" w:sz="0" w:space="0" w:color="auto"/>
        <w:left w:val="none" w:sz="0" w:space="0" w:color="auto"/>
        <w:bottom w:val="none" w:sz="0" w:space="0" w:color="auto"/>
        <w:right w:val="none" w:sz="0" w:space="0" w:color="auto"/>
      </w:divBdr>
    </w:div>
    <w:div w:id="29380682">
      <w:marLeft w:val="0"/>
      <w:marRight w:val="0"/>
      <w:marTop w:val="0"/>
      <w:marBottom w:val="0"/>
      <w:divBdr>
        <w:top w:val="none" w:sz="0" w:space="0" w:color="auto"/>
        <w:left w:val="none" w:sz="0" w:space="0" w:color="auto"/>
        <w:bottom w:val="none" w:sz="0" w:space="0" w:color="auto"/>
        <w:right w:val="none" w:sz="0" w:space="0" w:color="auto"/>
      </w:divBdr>
      <w:divsChild>
        <w:div w:id="29380679">
          <w:marLeft w:val="0"/>
          <w:marRight w:val="0"/>
          <w:marTop w:val="0"/>
          <w:marBottom w:val="0"/>
          <w:divBdr>
            <w:top w:val="none" w:sz="0" w:space="0" w:color="auto"/>
            <w:left w:val="none" w:sz="0" w:space="0" w:color="auto"/>
            <w:bottom w:val="none" w:sz="0" w:space="0" w:color="auto"/>
            <w:right w:val="none" w:sz="0" w:space="0" w:color="auto"/>
          </w:divBdr>
          <w:divsChild>
            <w:div w:id="29380677">
              <w:marLeft w:val="0"/>
              <w:marRight w:val="0"/>
              <w:marTop w:val="0"/>
              <w:marBottom w:val="0"/>
              <w:divBdr>
                <w:top w:val="none" w:sz="0" w:space="0" w:color="auto"/>
                <w:left w:val="none" w:sz="0" w:space="0" w:color="auto"/>
                <w:bottom w:val="none" w:sz="0" w:space="0" w:color="auto"/>
                <w:right w:val="none" w:sz="0" w:space="0" w:color="auto"/>
              </w:divBdr>
              <w:divsChild>
                <w:div w:id="29380680">
                  <w:marLeft w:val="0"/>
                  <w:marRight w:val="0"/>
                  <w:marTop w:val="0"/>
                  <w:marBottom w:val="0"/>
                  <w:divBdr>
                    <w:top w:val="none" w:sz="0" w:space="0" w:color="auto"/>
                    <w:left w:val="none" w:sz="0" w:space="0" w:color="auto"/>
                    <w:bottom w:val="none" w:sz="0" w:space="0" w:color="auto"/>
                    <w:right w:val="none" w:sz="0" w:space="0" w:color="auto"/>
                  </w:divBdr>
                  <w:divsChild>
                    <w:div w:id="29380681">
                      <w:marLeft w:val="0"/>
                      <w:marRight w:val="0"/>
                      <w:marTop w:val="0"/>
                      <w:marBottom w:val="0"/>
                      <w:divBdr>
                        <w:top w:val="none" w:sz="0" w:space="0" w:color="auto"/>
                        <w:left w:val="none" w:sz="0" w:space="0" w:color="auto"/>
                        <w:bottom w:val="none" w:sz="0" w:space="0" w:color="auto"/>
                        <w:right w:val="none" w:sz="0" w:space="0" w:color="auto"/>
                      </w:divBdr>
                      <w:divsChild>
                        <w:div w:id="2938067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014929">
      <w:bodyDiv w:val="1"/>
      <w:marLeft w:val="0"/>
      <w:marRight w:val="0"/>
      <w:marTop w:val="0"/>
      <w:marBottom w:val="0"/>
      <w:divBdr>
        <w:top w:val="none" w:sz="0" w:space="0" w:color="auto"/>
        <w:left w:val="none" w:sz="0" w:space="0" w:color="auto"/>
        <w:bottom w:val="none" w:sz="0" w:space="0" w:color="auto"/>
        <w:right w:val="none" w:sz="0" w:space="0" w:color="auto"/>
      </w:divBdr>
    </w:div>
    <w:div w:id="306325672">
      <w:bodyDiv w:val="1"/>
      <w:marLeft w:val="720"/>
      <w:marRight w:val="0"/>
      <w:marTop w:val="0"/>
      <w:marBottom w:val="0"/>
      <w:divBdr>
        <w:top w:val="none" w:sz="0" w:space="0" w:color="auto"/>
        <w:left w:val="none" w:sz="0" w:space="0" w:color="auto"/>
        <w:bottom w:val="none" w:sz="0" w:space="0" w:color="auto"/>
        <w:right w:val="none" w:sz="0" w:space="0" w:color="auto"/>
      </w:divBdr>
    </w:div>
    <w:div w:id="742609796">
      <w:bodyDiv w:val="1"/>
      <w:marLeft w:val="720"/>
      <w:marRight w:val="0"/>
      <w:marTop w:val="0"/>
      <w:marBottom w:val="0"/>
      <w:divBdr>
        <w:top w:val="none" w:sz="0" w:space="0" w:color="auto"/>
        <w:left w:val="none" w:sz="0" w:space="0" w:color="auto"/>
        <w:bottom w:val="none" w:sz="0" w:space="0" w:color="auto"/>
        <w:right w:val="none" w:sz="0" w:space="0" w:color="auto"/>
      </w:divBdr>
    </w:div>
    <w:div w:id="878471970">
      <w:bodyDiv w:val="1"/>
      <w:marLeft w:val="0"/>
      <w:marRight w:val="0"/>
      <w:marTop w:val="0"/>
      <w:marBottom w:val="0"/>
      <w:divBdr>
        <w:top w:val="none" w:sz="0" w:space="0" w:color="auto"/>
        <w:left w:val="none" w:sz="0" w:space="0" w:color="auto"/>
        <w:bottom w:val="none" w:sz="0" w:space="0" w:color="auto"/>
        <w:right w:val="none" w:sz="0" w:space="0" w:color="auto"/>
      </w:divBdr>
    </w:div>
    <w:div w:id="980186982">
      <w:bodyDiv w:val="1"/>
      <w:marLeft w:val="0"/>
      <w:marRight w:val="0"/>
      <w:marTop w:val="0"/>
      <w:marBottom w:val="0"/>
      <w:divBdr>
        <w:top w:val="none" w:sz="0" w:space="0" w:color="auto"/>
        <w:left w:val="none" w:sz="0" w:space="0" w:color="auto"/>
        <w:bottom w:val="none" w:sz="0" w:space="0" w:color="auto"/>
        <w:right w:val="none" w:sz="0" w:space="0" w:color="auto"/>
      </w:divBdr>
    </w:div>
    <w:div w:id="990450289">
      <w:bodyDiv w:val="1"/>
      <w:marLeft w:val="0"/>
      <w:marRight w:val="0"/>
      <w:marTop w:val="0"/>
      <w:marBottom w:val="0"/>
      <w:divBdr>
        <w:top w:val="none" w:sz="0" w:space="0" w:color="auto"/>
        <w:left w:val="none" w:sz="0" w:space="0" w:color="auto"/>
        <w:bottom w:val="none" w:sz="0" w:space="0" w:color="auto"/>
        <w:right w:val="none" w:sz="0" w:space="0" w:color="auto"/>
      </w:divBdr>
    </w:div>
    <w:div w:id="1351295770">
      <w:bodyDiv w:val="1"/>
      <w:marLeft w:val="0"/>
      <w:marRight w:val="0"/>
      <w:marTop w:val="0"/>
      <w:marBottom w:val="0"/>
      <w:divBdr>
        <w:top w:val="none" w:sz="0" w:space="0" w:color="auto"/>
        <w:left w:val="none" w:sz="0" w:space="0" w:color="auto"/>
        <w:bottom w:val="none" w:sz="0" w:space="0" w:color="auto"/>
        <w:right w:val="none" w:sz="0" w:space="0" w:color="auto"/>
      </w:divBdr>
    </w:div>
    <w:div w:id="1469005473">
      <w:bodyDiv w:val="1"/>
      <w:marLeft w:val="0"/>
      <w:marRight w:val="0"/>
      <w:marTop w:val="0"/>
      <w:marBottom w:val="0"/>
      <w:divBdr>
        <w:top w:val="none" w:sz="0" w:space="0" w:color="auto"/>
        <w:left w:val="none" w:sz="0" w:space="0" w:color="auto"/>
        <w:bottom w:val="none" w:sz="0" w:space="0" w:color="auto"/>
        <w:right w:val="none" w:sz="0" w:space="0" w:color="auto"/>
      </w:divBdr>
    </w:div>
    <w:div w:id="1884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A6D0218C61A1A4ABDE3770640470815" ma:contentTypeVersion="48" ma:contentTypeDescription="Create a new document." ma:contentTypeScope="" ma:versionID="912ec21759cbfe3c314055f5c4851df6">
  <xsd:schema xmlns:xsd="http://www.w3.org/2001/XMLSchema" xmlns:xs="http://www.w3.org/2001/XMLSchema" xmlns:p="http://schemas.microsoft.com/office/2006/metadata/properties" xmlns:ns2="5cc14d8d-ce88-420f-87a0-e6108086f496" xmlns:ns3="f81a8bbd-0c4c-4b6a-b545-90cefc05cf1f" xmlns:ns4="d900e117-17a0-4b24-9e47-511ef1d02c43" targetNamespace="http://schemas.microsoft.com/office/2006/metadata/properties" ma:root="true" ma:fieldsID="029e3caf071687097ccfda7c724a184a" ns2:_="" ns3:_="" ns4:_="">
    <xsd:import namespace="5cc14d8d-ce88-420f-87a0-e6108086f496"/>
    <xsd:import namespace="f81a8bbd-0c4c-4b6a-b545-90cefc05cf1f"/>
    <xsd:import namespace="d900e117-17a0-4b24-9e47-511ef1d02c43"/>
    <xsd:element name="properties">
      <xsd:complexType>
        <xsd:sequence>
          <xsd:element name="documentManagement">
            <xsd:complexType>
              <xsd:all>
                <xsd:element ref="ns2:FinalMeetingDate" minOccurs="0"/>
                <xsd:element ref="ns2:TaskingCommittee" minOccurs="0"/>
                <xsd:element ref="ns2:ProvidedTo" minOccurs="0"/>
                <xsd:element ref="ns2:ContentSensitivity" minOccurs="0"/>
                <xsd:element ref="ns2:DueCY" minOccurs="0"/>
                <xsd:element ref="ns2:SiteSensitivity"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Special" minOccurs="0"/>
                <xsd:element ref="ns2:Decisional" minOccurs="0"/>
                <xsd:element ref="ns4:Data_x0020_Categorization" minOccurs="0"/>
                <xsd:element ref="ns2:Status" minOccurs="0"/>
                <xsd:element ref="ns2:MediaServiceLocation" minOccurs="0"/>
                <xsd:element ref="ns2:a8c1c00750334e6e8e949adbe25fff2a" minOccurs="0"/>
                <xsd:element ref="ns2:d643efbaa98b4b23a30bd8c507b50b48" minOccurs="0"/>
                <xsd:element ref="ns2:bf9ef66eee654a679196ff0ac5e45424" minOccurs="0"/>
                <xsd:element ref="ns2:g047a9c7f20647b0afc28e5da7de5bf5" minOccurs="0"/>
                <xsd:element ref="ns2:l77477d30ac74ac6a6a7b9f03d6b0f9f" minOccurs="0"/>
                <xsd:element ref="ns2:MigrationStatus" minOccurs="0"/>
                <xsd:element ref="ns2:c4f34701e3e1443eae3a3ae38bcf6eca" minOccurs="0"/>
                <xsd:element ref="ns2:MediaServiceObjectDetectorVersions" minOccurs="0"/>
                <xsd:element ref="ns2:Committee" minOccurs="0"/>
                <xsd:element ref="ns2:SPPage" minOccurs="0"/>
                <xsd:element ref="ns2:MtgFolder" minOccurs="0"/>
                <xsd:element ref="ns2:HIVE" minOccurs="0"/>
                <xsd:element ref="ns2:Agend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14d8d-ce88-420f-87a0-e6108086f496" elementFormDefault="qualified">
    <xsd:import namespace="http://schemas.microsoft.com/office/2006/documentManagement/types"/>
    <xsd:import namespace="http://schemas.microsoft.com/office/infopath/2007/PartnerControls"/>
    <xsd:element name="FinalMeetingDate" ma:index="1" nillable="true" ma:displayName="Date" ma:format="DateOnly" ma:indexed="true" ma:internalName="FinalMeetingDate" ma:readOnly="false">
      <xsd:simpleType>
        <xsd:restriction base="dms:DateTime"/>
      </xsd:simpleType>
    </xsd:element>
    <xsd:element name="TaskingCommittee" ma:index="3" nillable="true" ma:displayName="Tasking Committee" ma:format="Dropdown" ma:internalName="TaskingCommittee" ma:readOnly="false">
      <xsd:simpleType>
        <xsd:restriction base="dms:Choice">
          <xsd:enumeration value="Authorization"/>
          <xsd:enumeration value="Appropriatons"/>
          <xsd:enumeration value="Other Committee"/>
        </xsd:restriction>
      </xsd:simpleType>
    </xsd:element>
    <xsd:element name="ProvidedTo" ma:index="4" nillable="true" ma:displayName="Provided To" ma:format="Dropdown" ma:internalName="ProvidedTo" ma:readOnly="false">
      <xsd:complexType>
        <xsd:complexContent>
          <xsd:extension base="dms:MultiChoice">
            <xsd:sequence>
              <xsd:element name="Value" maxOccurs="unbounded" minOccurs="0" nillable="true">
                <xsd:simpleType>
                  <xsd:restriction base="dms:Choice">
                    <xsd:enumeration value="Authorizations"/>
                    <xsd:enumeration value="Appropriations"/>
                    <xsd:enumeration value="Other"/>
                  </xsd:restriction>
                </xsd:simpleType>
              </xsd:element>
            </xsd:sequence>
          </xsd:extension>
        </xsd:complexContent>
      </xsd:complexType>
    </xsd:element>
    <xsd:element name="ContentSensitivity" ma:index="6" nillable="true" ma:displayName="Maximum Marking in Folder" ma:format="Dropdown" ma:internalName="ContentSensitivity" ma:readOnly="false">
      <xsd:complexType>
        <xsd:complexContent>
          <xsd:extension base="dms:MultiChoice">
            <xsd:sequence>
              <xsd:element name="Value" maxOccurs="unbounded" minOccurs="0" nillable="true">
                <xsd:simpleType>
                  <xsd:restriction base="dms:Choice">
                    <xsd:enumeration value="Not Marked"/>
                    <xsd:enumeration value="CUI"/>
                    <xsd:enumeration value="CUI Category Markings"/>
                    <xsd:enumeration value="CUI Dissemination Controlled"/>
                    <xsd:enumeration value="SBU"/>
                    <xsd:enumeration value="SBU Specified"/>
                  </xsd:restriction>
                </xsd:simpleType>
              </xsd:element>
            </xsd:sequence>
          </xsd:extension>
        </xsd:complexContent>
      </xsd:complexType>
    </xsd:element>
    <xsd:element name="DueCY" ma:index="7" nillable="true" ma:displayName="Due CY" ma:description="Calendar year the report was originally due" ma:format="Dropdown" ma:internalName="DueCY" ma:readOnly="false">
      <xsd:simpleType>
        <xsd:restriction base="dms:Text">
          <xsd:maxLength value="4"/>
        </xsd:restriction>
      </xsd:simpleType>
    </xsd:element>
    <xsd:element name="SiteSensitivity" ma:index="8" nillable="true" ma:displayName="Site Sensitivity" ma:format="Dropdown" ma:internalName="SiteSensitivity" ma:readOnly="false">
      <xsd:simpleType>
        <xsd:restriction base="dms:Choice">
          <xsd:enumeration value="Green"/>
          <xsd:enumeration value="Yellow"/>
          <xsd:enumeration value="Orange"/>
          <xsd:enumeration value="Red"/>
          <xsd:enumeration value="Black"/>
          <xsd:enumeration value="Blue (OneNASA)"/>
          <xsd:enumeration value="Speci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Special" ma:index="23" nillable="true" ma:displayName="Special" ma:format="Dropdown" ma:hidden="true" ma:internalName="Special" ma:readOnly="false">
      <xsd:complexType>
        <xsd:complexContent>
          <xsd:extension base="dms:MultiChoice">
            <xsd:sequence>
              <xsd:element name="Value" maxOccurs="unbounded" minOccurs="0" nillable="true">
                <xsd:simpleType>
                  <xsd:restriction base="dms:Choice">
                    <xsd:enumeration value="PPBE"/>
                    <xsd:enumeration value="Pre-ASM"/>
                    <xsd:enumeration value="ASM"/>
                    <xsd:enumeration value="KDP"/>
                    <xsd:enumeration value="Rebaseline"/>
                    <xsd:enumeration value="PIR"/>
                    <xsd:enumeration value="MAP"/>
                    <xsd:enumeration value="BSA"/>
                    <xsd:enumeration value="TCAT"/>
                  </xsd:restriction>
                </xsd:simpleType>
              </xsd:element>
            </xsd:sequence>
          </xsd:extension>
        </xsd:complexContent>
      </xsd:complexType>
    </xsd:element>
    <xsd:element name="Decisional" ma:index="24" nillable="true" ma:displayName="Decisional" ma:format="Dropdown" ma:hidden="true" ma:internalName="Decisional" ma:readOnly="false">
      <xsd:simpleType>
        <xsd:restriction base="dms:Choice">
          <xsd:enumeration value="Decisional"/>
          <xsd:enumeration value="Decision Framing"/>
          <xsd:enumeration value="Informational"/>
        </xsd:restriction>
      </xsd:simpleType>
    </xsd:element>
    <xsd:element name="Status" ma:index="26" nillable="true" ma:displayName="Status" ma:format="Dropdown" ma:hidden="true" ma:internalName="Status" ma:readOnly="false">
      <xsd:simpleType>
        <xsd:restriction base="dms:Choice">
          <xsd:enumeration value="Being Backfilled"/>
          <xsd:enumeration value="Final and Closed"/>
          <xsd:enumeration value="Final"/>
          <xsd:enumeration value="Draft"/>
          <xsd:enumeration value="Pre-Draft"/>
          <xsd:enumeration value="Forecasted"/>
        </xsd:restriction>
      </xsd:simpleType>
    </xsd:element>
    <xsd:element name="MediaServiceLocation" ma:index="27" nillable="true" ma:displayName="Location" ma:description="" ma:hidden="true" ma:indexed="true" ma:internalName="MediaServiceLocation" ma:readOnly="true">
      <xsd:simpleType>
        <xsd:restriction base="dms:Text"/>
      </xsd:simpleType>
    </xsd:element>
    <xsd:element name="a8c1c00750334e6e8e949adbe25fff2a" ma:index="29" nillable="true" ma:taxonomy="true" ma:internalName="a8c1c00750334e6e8e949adbe25fff2a" ma:taxonomyFieldName="Agency_x0020_Function" ma:displayName="Agency Function" ma:readOnly="false" ma:default="" ma:fieldId="{a8c1c007-5033-4e6e-8e94-9adbe25fff2a}" ma:taxonomyMulti="true" ma:sspId="0fb68aea-d2ee-4a6c-85e6-e4b5686e96e8" ma:termSetId="31d191dd-5313-4cb6-8db5-25806b2b74bb" ma:anchorId="00000000-0000-0000-0000-000000000000" ma:open="false" ma:isKeyword="false">
      <xsd:complexType>
        <xsd:sequence>
          <xsd:element ref="pc:Terms" minOccurs="0" maxOccurs="1"/>
        </xsd:sequence>
      </xsd:complexType>
    </xsd:element>
    <xsd:element name="d643efbaa98b4b23a30bd8c507b50b48" ma:index="31" nillable="true" ma:taxonomy="true" ma:internalName="d643efbaa98b4b23a30bd8c507b50b48" ma:taxonomyFieldName="Responsible_x0020_Official" ma:displayName="Responsible Official" ma:readOnly="false" ma:default="" ma:fieldId="{d643efba-a98b-4b23-a30b-d8c507b50b48}" ma:taxonomyMulti="true" ma:sspId="0fb68aea-d2ee-4a6c-85e6-e4b5686e96e8" ma:termSetId="4938e616-64c3-4303-bb0e-d8fb90e6ea96" ma:anchorId="00000000-0000-0000-0000-000000000000" ma:open="false" ma:isKeyword="false">
      <xsd:complexType>
        <xsd:sequence>
          <xsd:element ref="pc:Terms" minOccurs="0" maxOccurs="1"/>
        </xsd:sequence>
      </xsd:complexType>
    </xsd:element>
    <xsd:element name="bf9ef66eee654a679196ff0ac5e45424" ma:index="33" nillable="true" ma:taxonomy="true" ma:internalName="bf9ef66eee654a679196ff0ac5e45424" ma:taxonomyFieldName="Folder_x0020_Configuration_x0020_Management" ma:displayName="Configuration Management" ma:readOnly="false" ma:default="" ma:fieldId="{bf9ef66e-ee65-4a67-9196-ff0ac5e45424}" ma:taxonomyMulti="true" ma:sspId="0fb68aea-d2ee-4a6c-85e6-e4b5686e96e8" ma:termSetId="4938e616-64c3-4303-bb0e-d8fb90e6ea96" ma:anchorId="00000000-0000-0000-0000-000000000000" ma:open="false" ma:isKeyword="false">
      <xsd:complexType>
        <xsd:sequence>
          <xsd:element ref="pc:Terms" minOccurs="0" maxOccurs="1"/>
        </xsd:sequence>
      </xsd:complexType>
    </xsd:element>
    <xsd:element name="g047a9c7f20647b0afc28e5da7de5bf5" ma:index="35" nillable="true" ma:taxonomy="true" ma:internalName="g047a9c7f20647b0afc28e5da7de5bf5" ma:taxonomyFieldName="Audience" ma:displayName="Document Audience" ma:readOnly="false" ma:default="" ma:fieldId="{0047a9c7-f206-47b0-afc2-8e5da7de5bf5}" ma:taxonomyMulti="true" ma:sspId="0fb68aea-d2ee-4a6c-85e6-e4b5686e96e8" ma:termSetId="70a6ea81-4f78-4a03-b2a8-d02b18629a92" ma:anchorId="00000000-0000-0000-0000-000000000000" ma:open="false" ma:isKeyword="false">
      <xsd:complexType>
        <xsd:sequence>
          <xsd:element ref="pc:Terms" minOccurs="0" maxOccurs="1"/>
        </xsd:sequence>
      </xsd:complexType>
    </xsd:element>
    <xsd:element name="l77477d30ac74ac6a6a7b9f03d6b0f9f" ma:index="37" nillable="true" ma:taxonomy="true" ma:internalName="l77477d30ac74ac6a6a7b9f03d6b0f9f" ma:taxonomyFieldName="Subject" ma:displayName="Document Type" ma:readOnly="false" ma:default="" ma:fieldId="{577477d3-0ac7-4ac6-a6a7-b9f03d6b0f9f}" ma:taxonomyMulti="true" ma:sspId="0fb68aea-d2ee-4a6c-85e6-e4b5686e96e8" ma:termSetId="31a00567-1ca0-4ffa-8a78-da409867844f" ma:anchorId="00000000-0000-0000-0000-000000000000" ma:open="false" ma:isKeyword="false">
      <xsd:complexType>
        <xsd:sequence>
          <xsd:element ref="pc:Terms" minOccurs="0" maxOccurs="1"/>
        </xsd:sequence>
      </xsd:complexType>
    </xsd:element>
    <xsd:element name="MigrationStatus" ma:index="38" nillable="true" ma:displayName="Migration Status" ma:format="Dropdown" ma:hidden="true" ma:internalName="MigrationStatus" ma:readOnly="false">
      <xsd:simpleType>
        <xsd:restriction base="dms:Choice">
          <xsd:enumeration value="Not Yet Started"/>
          <xsd:enumeration value="In Progress"/>
          <xsd:enumeration value="Ready for Review"/>
          <xsd:enumeration value="Validated"/>
        </xsd:restriction>
      </xsd:simpleType>
    </xsd:element>
    <xsd:element name="c4f34701e3e1443eae3a3ae38bcf6eca" ma:index="40" nillable="true" ma:taxonomy="true" ma:internalName="c4f34701e3e1443eae3a3ae38bcf6eca" ma:taxonomyFieldName="Records_x0020_Schedule" ma:displayName="Records Schedule" ma:readOnly="false" ma:default="" ma:fieldId="{c4f34701-e3e1-443e-ae3a-3ae38bcf6eca}" ma:sspId="0fb68aea-d2ee-4a6c-85e6-e4b5686e96e8" ma:termSetId="56cef347-b714-4a0b-a914-d6b40223d430" ma:anchorId="01e96a98-fa2f-4c82-9b61-189aefa50875" ma:open="fals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Committee" ma:index="42" nillable="true" ma:displayName="Committee" ma:format="Dropdown" ma:hidden="true" ma:internalName="Committee" ma:readOnly="false">
      <xsd:simpleType>
        <xsd:restriction base="dms:Choice">
          <xsd:enumeration value="Authorization"/>
          <xsd:enumeration value="Appropriations"/>
          <xsd:enumeration value="Other"/>
        </xsd:restriction>
      </xsd:simpleType>
    </xsd:element>
    <xsd:element name="SPPage" ma:index="43" nillable="true" ma:displayName="SP Page" ma:description="Link to SP Topic Site Page" ma:format="Hyperlink" ma:hidden="true" ma:internalName="SPP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tgFolder" ma:index="44" nillable="true" ma:displayName="Mtg Folder" ma:description="Link to Meeting Folder" ma:format="Hyperlink" ma:hidden="true" ma:internalName="MtgFold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HIVE" ma:index="45" nillable="true" ma:displayName="HIVE" ma:description="Link to HIVE Topic" ma:format="Hyperlink" ma:hidden="true" ma:internalName="HIV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endaID" ma:index="46" nillable="true" ma:displayName="Agenda ID" ma:description="Council Agenda ID" ma:format="Dropdown" ma:hidden="true" ma:internalName="Agenda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a8bbd-0c4c-4b6a-b545-90cefc05cf1f"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d35a359-acfd-4f0c-827d-384db91415d4}" ma:internalName="TaxCatchAll" ma:readOnly="false" ma:showField="CatchAllData" ma:web="f81a8bbd-0c4c-4b6a-b545-90cefc05cf1f">
      <xsd:complexType>
        <xsd:complexContent>
          <xsd:extension base="dms:MultiChoiceLookup">
            <xsd:sequence>
              <xsd:element name="Value" type="dms:Lookup" maxOccurs="unbounded" minOccurs="0" nillable="true"/>
            </xsd:sequence>
          </xsd:extension>
        </xsd:complexContent>
      </xsd:complexType>
    </xsd:element>
    <xsd:element name="Data_x0020_Categorization" ma:index="25" nillable="true" ma:displayName="Data Categorization" ma:description="This column is for noting what type of file is being stored so items are clearly marked. Please note that for something to be considered  for &quot;Public Release&quot; it must go through for Center Export Control Representative. And if you have questions about data classifications or want to have your data reviewed, visit: https://nasa.sharepoint.com/sites/privacy" ma:format="Dropdown" ma:hidden="true" ma:internalName="Data_x0020_Categorization" ma:readOnly="false">
      <xsd:complexType>
        <xsd:complexContent>
          <xsd:extension base="dms:MultiChoiceFillIn">
            <xsd:sequence>
              <xsd:element name="Value" maxOccurs="unbounded" minOccurs="0" nillable="true">
                <xsd:simpleType>
                  <xsd:union memberTypes="dms:Text">
                    <xsd:simpleType>
                      <xsd:restriction base="dms:Choice">
                        <xsd:enumeration value="NASA Internal"/>
                        <xsd:enumeration value="ITAR/EAR...CUI: Export Control"/>
                        <xsd:enumeration value="CUI: Source Selection"/>
                        <xsd:enumeration value="CUI: General Procurement and Acquisition"/>
                        <xsd:enumeration value="CUI: General Proprietary Business Information"/>
                        <xsd:enumeration value="CUI: Budget"/>
                        <xsd:enumeration value="CUI: General Financial Information"/>
                        <xsd:enumeration value="CUI: Emergency Management"/>
                        <xsd:enumeration value="CUI: General Critical Infrastructure Information"/>
                        <xsd:enumeration value="CUI: Internal Personnel Rules/Practice"/>
                        <xsd:enumeration value="CUI: Investigation"/>
                        <xsd:enumeration value="CUI: Information Systems Vulnerability Information"/>
                        <xsd:enumeration value="CUI: Patent Application"/>
                        <xsd:enumeration value="Sensitive PII...CUI: General Privacy"/>
                        <xsd:enumeration value="SBU: Company Proprietary Information"/>
                        <xsd:enumeration value="SBU: Financial Institution Information"/>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ma:displayName="Document Typ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91F32-A0F9-4386-A7F6-1C49ADEB0D37}">
  <ds:schemaRefs>
    <ds:schemaRef ds:uri="http://schemas.microsoft.com/sharepoint/v3/contenttype/forms"/>
  </ds:schemaRefs>
</ds:datastoreItem>
</file>

<file path=customXml/itemProps2.xml><?xml version="1.0" encoding="utf-8"?>
<ds:datastoreItem xmlns:ds="http://schemas.openxmlformats.org/officeDocument/2006/customXml" ds:itemID="{6D6DE494-354B-426C-B0F0-8B17D30F8151}">
  <ds:schemaRefs>
    <ds:schemaRef ds:uri="http://schemas.openxmlformats.org/officeDocument/2006/bibliography"/>
  </ds:schemaRefs>
</ds:datastoreItem>
</file>

<file path=customXml/itemProps3.xml><?xml version="1.0" encoding="utf-8"?>
<ds:datastoreItem xmlns:ds="http://schemas.openxmlformats.org/officeDocument/2006/customXml" ds:itemID="{5912DBD0-E8D2-4E3E-A08D-5AF3BEC38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14d8d-ce88-420f-87a0-e6108086f496"/>
    <ds:schemaRef ds:uri="f81a8bbd-0c4c-4b6a-b545-90cefc05cf1f"/>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14</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NM 9090-91</vt:lpstr>
    </vt:vector>
  </TitlesOfParts>
  <Company>NASA/ODIN</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9090-91</dc:title>
  <dc:creator>Bezold, Henry (HQ-IF000)</dc:creator>
  <cp:lastModifiedBy>Bloxon, Deborah F. (HQ-AH020)</cp:lastModifiedBy>
  <cp:revision>2</cp:revision>
  <cp:lastPrinted>2018-05-02T14:45:00Z</cp:lastPrinted>
  <dcterms:created xsi:type="dcterms:W3CDTF">2023-12-21T14:37:00Z</dcterms:created>
  <dcterms:modified xsi:type="dcterms:W3CDTF">2023-12-21T14:37:00Z</dcterms:modified>
</cp:coreProperties>
</file>